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Küçükbaş Hayvan Kulak Küpesi Alımı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Tarım ve Orman Bakanlığı İl Müdürlüğü TARIM VE ORMAN BAKANLIĞI BAKAN YARDIMCILIKLARI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