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22" w:rsidRPr="000F2522" w:rsidRDefault="000F2522" w:rsidP="000F2522">
      <w:pPr>
        <w:spacing w:line="240" w:lineRule="auto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tr-TR"/>
        </w:rPr>
      </w:pPr>
      <w:r w:rsidRPr="000F2522">
        <w:rPr>
          <w:rFonts w:ascii="Georgia" w:eastAsia="Times New Roman" w:hAnsi="Georgia" w:cs="Times New Roman"/>
          <w:kern w:val="36"/>
          <w:sz w:val="32"/>
          <w:szCs w:val="32"/>
          <w:lang w:eastAsia="tr-TR"/>
        </w:rPr>
        <w:t>Vantuz (Hava Tahliye Vanası)</w:t>
      </w:r>
    </w:p>
    <w:p w:rsidR="000F2522" w:rsidRPr="000F2522" w:rsidRDefault="000F2522" w:rsidP="000F2522">
      <w:pPr>
        <w:spacing w:line="240" w:lineRule="auto"/>
        <w:rPr>
          <w:rFonts w:ascii="Verdana" w:eastAsia="Times New Roman" w:hAnsi="Verdana" w:cs="Times New Roman"/>
          <w:sz w:val="13"/>
          <w:szCs w:val="13"/>
          <w:lang w:eastAsia="tr-TR"/>
        </w:rPr>
      </w:pPr>
      <w:hyperlink r:id="rId5" w:history="1">
        <w:r w:rsidRPr="000F2522">
          <w:rPr>
            <w:rFonts w:ascii="Verdana" w:eastAsia="Times New Roman" w:hAnsi="Verdana" w:cs="Times New Roman"/>
            <w:sz w:val="13"/>
            <w:szCs w:val="13"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samsunmakina.com.tr/_images/_urun/_vana/_sayfa/vantuz_big.jpg" style="width:23.8pt;height:23.8pt" o:button="t"/>
          </w:pict>
        </w:r>
      </w:hyperlink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Özellikleri</w:t>
      </w:r>
    </w:p>
    <w:p w:rsidR="000F2522" w:rsidRPr="000F2522" w:rsidRDefault="000F2522" w:rsidP="000F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Boru hattının dolumu sırasında; basıncı düşük kapasitesi (debisi) yüksek havanın tahliyesi,</w:t>
      </w:r>
    </w:p>
    <w:p w:rsidR="000F2522" w:rsidRPr="000F2522" w:rsidRDefault="000F2522" w:rsidP="000F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Boru hattının tahliyesi sırasında büyük miktarlarda havanın boru hattı içerisine dolmasını sağlayarak; boru hattının vakum olayından korunması,</w:t>
      </w:r>
    </w:p>
    <w:p w:rsidR="000F2522" w:rsidRPr="000F2522" w:rsidRDefault="000F2522" w:rsidP="000F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Boru hattının çalışması sırasında, basıncı yüksek kapasitesi (debisi) düşük havanın tahliyesi,</w:t>
      </w:r>
    </w:p>
    <w:p w:rsidR="000F2522" w:rsidRPr="000F2522" w:rsidRDefault="000F2522" w:rsidP="000F2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Ani basınç artışlarına karşı darbesiz kapanma,</w:t>
      </w:r>
    </w:p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 xml:space="preserve">3. Maddeyi karşılayan vantuzlar: Tek </w:t>
      </w:r>
      <w:proofErr w:type="spellStart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orifisli</w:t>
      </w:r>
      <w:proofErr w:type="spellEnd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, Tek etkili,</w:t>
      </w:r>
    </w:p>
    <w:p w:rsidR="000F2522" w:rsidRPr="000F2522" w:rsidRDefault="000F2522" w:rsidP="000F2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 xml:space="preserve">1. ve 2. Maddeyi karşılayan vantuzlar: Tek </w:t>
      </w:r>
      <w:proofErr w:type="spellStart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orifisli</w:t>
      </w:r>
      <w:proofErr w:type="spellEnd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, Çift etkili,</w:t>
      </w:r>
    </w:p>
    <w:p w:rsidR="000F2522" w:rsidRPr="000F2522" w:rsidRDefault="000F2522" w:rsidP="000F2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 xml:space="preserve">1. 2. ve 3. Maddeyi karşılayan vantuzlar: Çift </w:t>
      </w:r>
      <w:proofErr w:type="spellStart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orifisli</w:t>
      </w:r>
      <w:proofErr w:type="spellEnd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, Üç etkili (Kinetik tip),</w:t>
      </w:r>
    </w:p>
    <w:p w:rsidR="000F2522" w:rsidRPr="000F2522" w:rsidRDefault="000F2522" w:rsidP="000F2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 xml:space="preserve">4 Maddenin tümünü karşılayan vantuzlar: Tek </w:t>
      </w:r>
      <w:proofErr w:type="spellStart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orifisli</w:t>
      </w:r>
      <w:proofErr w:type="spellEnd"/>
      <w:r w:rsidRPr="000F2522">
        <w:rPr>
          <w:rFonts w:ascii="Verdana" w:eastAsia="Times New Roman" w:hAnsi="Verdana" w:cs="Times New Roman"/>
          <w:i/>
          <w:iCs/>
          <w:sz w:val="13"/>
          <w:szCs w:val="13"/>
          <w:lang w:eastAsia="tr-TR"/>
        </w:rPr>
        <w:t>, Dört etkili (dinamik - anti şok - darbesiz) olarak adlandırılır.</w:t>
      </w:r>
    </w:p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Vantuz Tipleri</w:t>
      </w:r>
    </w:p>
    <w:tbl>
      <w:tblPr>
        <w:tblW w:w="0" w:type="auto"/>
        <w:tblCellSpacing w:w="7" w:type="dxa"/>
        <w:tblInd w:w="313" w:type="dxa"/>
        <w:tblCellMar>
          <w:left w:w="0" w:type="dxa"/>
          <w:right w:w="0" w:type="dxa"/>
        </w:tblCellMar>
        <w:tblLook w:val="04A0"/>
      </w:tblPr>
      <w:tblGrid>
        <w:gridCol w:w="5287"/>
      </w:tblGrid>
      <w:tr w:rsidR="000F2522" w:rsidRPr="000F2522" w:rsidTr="000F2522">
        <w:trPr>
          <w:tblCellSpacing w:w="7" w:type="dxa"/>
        </w:trPr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• Tek 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Orifisli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- Tek etkili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• Tek 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Orifisli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- Çift etkili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• Çift 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Orifisli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- Üç etkili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• Tek 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Orifisli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- Dört etkili </w:t>
            </w:r>
            <w:proofErr w:type="gram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(</w:t>
            </w:r>
            <w:proofErr w:type="gram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Dinamik - Anti Şok - Darbesiz Tip</w:t>
            </w:r>
          </w:p>
        </w:tc>
      </w:tr>
    </w:tbl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Uygulanan Standartlar</w:t>
      </w:r>
    </w:p>
    <w:tbl>
      <w:tblPr>
        <w:tblW w:w="0" w:type="auto"/>
        <w:tblCellSpacing w:w="7" w:type="dxa"/>
        <w:tblInd w:w="313" w:type="dxa"/>
        <w:tblCellMar>
          <w:left w:w="0" w:type="dxa"/>
          <w:right w:w="0" w:type="dxa"/>
        </w:tblCellMar>
        <w:tblLook w:val="04A0"/>
      </w:tblPr>
      <w:tblGrid>
        <w:gridCol w:w="1899"/>
        <w:gridCol w:w="3151"/>
      </w:tblGrid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proofErr w:type="spellStart"/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Flanş</w:t>
            </w:r>
            <w:proofErr w:type="spellEnd"/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 xml:space="preserve"> ölçüleri</w:t>
            </w:r>
          </w:p>
        </w:tc>
        <w:tc>
          <w:tcPr>
            <w:tcW w:w="3130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EN 1092-2</w:t>
            </w: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br/>
              <w:t>ISO 7005-2</w:t>
            </w: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br/>
              <w:t>BS 4504</w:t>
            </w: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br/>
              <w:t>DIN 2501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Kaplama</w:t>
            </w:r>
          </w:p>
        </w:tc>
        <w:tc>
          <w:tcPr>
            <w:tcW w:w="3130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DIN 30677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Test</w:t>
            </w:r>
          </w:p>
        </w:tc>
        <w:tc>
          <w:tcPr>
            <w:tcW w:w="3130" w:type="dxa"/>
            <w:shd w:val="clear" w:color="auto" w:fill="F5F5F5"/>
            <w:tcMar>
              <w:top w:w="63" w:type="dxa"/>
              <w:left w:w="163" w:type="dxa"/>
              <w:bottom w:w="63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EN 12266</w:t>
            </w: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br/>
              <w:t>EN 1074-1 &amp; -4</w:t>
            </w:r>
          </w:p>
        </w:tc>
      </w:tr>
    </w:tbl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Basınç sınıfları ve çaplar</w:t>
      </w:r>
    </w:p>
    <w:tbl>
      <w:tblPr>
        <w:tblW w:w="0" w:type="auto"/>
        <w:tblCellSpacing w:w="7" w:type="dxa"/>
        <w:tblInd w:w="313" w:type="dxa"/>
        <w:tblCellMar>
          <w:left w:w="0" w:type="dxa"/>
          <w:right w:w="0" w:type="dxa"/>
        </w:tblCellMar>
        <w:tblLook w:val="04A0"/>
      </w:tblPr>
      <w:tblGrid>
        <w:gridCol w:w="1148"/>
        <w:gridCol w:w="2506"/>
        <w:gridCol w:w="1656"/>
      </w:tblGrid>
      <w:tr w:rsidR="000F2522" w:rsidRPr="000F2522" w:rsidTr="000F2522">
        <w:trPr>
          <w:tblCellSpacing w:w="7" w:type="dxa"/>
        </w:trPr>
        <w:tc>
          <w:tcPr>
            <w:tcW w:w="1127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 xml:space="preserve">Tek </w:t>
            </w:r>
            <w:proofErr w:type="spellStart"/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Orifisli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PN10 - PN16 - PN25 - PN40</w:t>
            </w:r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DN40 - DN250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127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Kinetik Tip</w:t>
            </w:r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PN10 - PN16 - PN25 - PN40</w:t>
            </w:r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DN40 - DN250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127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Dinamik Tip</w:t>
            </w:r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PN10 - PN16 - PN25 - PN40</w:t>
            </w:r>
          </w:p>
        </w:tc>
        <w:tc>
          <w:tcPr>
            <w:tcW w:w="0" w:type="auto"/>
            <w:shd w:val="clear" w:color="auto" w:fill="F5F5F5"/>
            <w:tcMar>
              <w:top w:w="63" w:type="dxa"/>
              <w:left w:w="338" w:type="dxa"/>
              <w:bottom w:w="63" w:type="dxa"/>
              <w:right w:w="3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DN40 - DN300</w:t>
            </w:r>
          </w:p>
        </w:tc>
      </w:tr>
    </w:tbl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</w:p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lastRenderedPageBreak/>
        <w:t>Test basınçları (EN 12266'ya göre)</w:t>
      </w:r>
    </w:p>
    <w:tbl>
      <w:tblPr>
        <w:tblW w:w="0" w:type="auto"/>
        <w:tblCellSpacing w:w="7" w:type="dxa"/>
        <w:tblInd w:w="313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99"/>
        <w:gridCol w:w="631"/>
        <w:gridCol w:w="631"/>
        <w:gridCol w:w="638"/>
      </w:tblGrid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FFFFF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 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PN10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PN16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PN25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Sızdırmazlık (bar)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11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18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27,5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Gövde Dayanım (bar)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17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25</w:t>
            </w:r>
          </w:p>
        </w:tc>
        <w:tc>
          <w:tcPr>
            <w:tcW w:w="501" w:type="dxa"/>
            <w:shd w:val="clear" w:color="auto" w:fill="F5F5F5"/>
            <w:tcMar>
              <w:top w:w="63" w:type="dxa"/>
              <w:left w:w="138" w:type="dxa"/>
              <w:bottom w:w="63" w:type="dxa"/>
              <w:right w:w="138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37,5</w:t>
            </w:r>
          </w:p>
        </w:tc>
      </w:tr>
    </w:tbl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0F2522" w:rsidRPr="000F2522" w:rsidRDefault="000F2522" w:rsidP="000F2522">
      <w:pPr>
        <w:spacing w:after="100" w:line="240" w:lineRule="auto"/>
        <w:outlineLvl w:val="3"/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</w:pPr>
      <w:r w:rsidRPr="000F2522">
        <w:rPr>
          <w:rFonts w:ascii="Verdana" w:eastAsia="Times New Roman" w:hAnsi="Verdana" w:cs="Times New Roman"/>
          <w:b/>
          <w:bCs/>
          <w:sz w:val="20"/>
          <w:szCs w:val="20"/>
          <w:lang w:eastAsia="tr-TR"/>
        </w:rPr>
        <w:t>Malzemeler</w:t>
      </w:r>
    </w:p>
    <w:tbl>
      <w:tblPr>
        <w:tblW w:w="0" w:type="auto"/>
        <w:tblCellSpacing w:w="7" w:type="dxa"/>
        <w:tblInd w:w="313" w:type="dxa"/>
        <w:tblCellMar>
          <w:left w:w="0" w:type="dxa"/>
          <w:right w:w="0" w:type="dxa"/>
        </w:tblCellMar>
        <w:tblLook w:val="04A0"/>
      </w:tblPr>
      <w:tblGrid>
        <w:gridCol w:w="1899"/>
        <w:gridCol w:w="5280"/>
      </w:tblGrid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Gövde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Düktil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döküm, GJS-400-15/GJS-500-7, EN 1563 (GGG40-50, DIN 1693),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Kapak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Düktil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döküm, GJS-400-15/GJS-500-7, EN 1563 (GGG40-50, DIN 1693),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Şamandıra - top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PE Polietilen malzeme, Kinetik tiplerde ilaveten ABS malzeme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Sızdırmazlık contası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EPDM (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Opsiyonel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: NBR)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Hava çıkış vanası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Bronz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Saplama - somunlar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Galvaniz kaplı çelik, </w:t>
            </w:r>
            <w:proofErr w:type="gram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8.8</w:t>
            </w:r>
            <w:proofErr w:type="gram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kalite</w:t>
            </w:r>
          </w:p>
        </w:tc>
      </w:tr>
      <w:tr w:rsidR="000F2522" w:rsidRPr="000F2522" w:rsidTr="000F2522">
        <w:trPr>
          <w:tblCellSpacing w:w="7" w:type="dxa"/>
        </w:trPr>
        <w:tc>
          <w:tcPr>
            <w:tcW w:w="1878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b/>
                <w:bCs/>
                <w:sz w:val="13"/>
                <w:szCs w:val="13"/>
                <w:lang w:eastAsia="tr-TR"/>
              </w:rPr>
              <w:t>İç - Dış kaplama</w:t>
            </w:r>
          </w:p>
        </w:tc>
        <w:tc>
          <w:tcPr>
            <w:tcW w:w="5259" w:type="dxa"/>
            <w:shd w:val="clear" w:color="auto" w:fill="F5F5F5"/>
            <w:tcMar>
              <w:top w:w="75" w:type="dxa"/>
              <w:left w:w="163" w:type="dxa"/>
              <w:bottom w:w="75" w:type="dxa"/>
              <w:right w:w="163" w:type="dxa"/>
            </w:tcMar>
            <w:vAlign w:val="center"/>
            <w:hideMark/>
          </w:tcPr>
          <w:p w:rsidR="000F2522" w:rsidRPr="000F2522" w:rsidRDefault="000F2522" w:rsidP="000F2522">
            <w:pPr>
              <w:spacing w:before="150" w:after="0" w:line="240" w:lineRule="auto"/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</w:pPr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RAL 5005 mavi elektrostatik toz </w:t>
            </w:r>
            <w:proofErr w:type="spellStart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>epoksi</w:t>
            </w:r>
            <w:proofErr w:type="spellEnd"/>
            <w:r w:rsidRPr="000F2522">
              <w:rPr>
                <w:rFonts w:ascii="Verdana" w:eastAsia="Times New Roman" w:hAnsi="Verdana" w:cs="Times New Roman"/>
                <w:sz w:val="13"/>
                <w:szCs w:val="13"/>
                <w:lang w:eastAsia="tr-TR"/>
              </w:rPr>
              <w:t xml:space="preserve"> boya, İçme suyuna uygunluk sertifikalı.</w:t>
            </w:r>
          </w:p>
        </w:tc>
      </w:tr>
    </w:tbl>
    <w:p w:rsidR="000F2522" w:rsidRPr="000F2522" w:rsidRDefault="000F2522" w:rsidP="000F252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3"/>
          <w:szCs w:val="13"/>
          <w:lang w:eastAsia="tr-TR"/>
        </w:rPr>
      </w:pPr>
      <w:r w:rsidRPr="000F2522">
        <w:rPr>
          <w:rFonts w:ascii="Verdana" w:eastAsia="Times New Roman" w:hAnsi="Verdana" w:cs="Times New Roman"/>
          <w:sz w:val="13"/>
          <w:szCs w:val="13"/>
          <w:lang w:eastAsia="tr-TR"/>
        </w:rPr>
        <w:t> </w:t>
      </w:r>
    </w:p>
    <w:p w:rsidR="00750817" w:rsidRPr="000F2522" w:rsidRDefault="00750817"/>
    <w:sectPr w:rsidR="00750817" w:rsidRPr="000F2522" w:rsidSect="000F2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D12"/>
    <w:multiLevelType w:val="multilevel"/>
    <w:tmpl w:val="ACF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24FED"/>
    <w:multiLevelType w:val="multilevel"/>
    <w:tmpl w:val="8FDE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2522"/>
    <w:rsid w:val="000F2522"/>
    <w:rsid w:val="00707243"/>
    <w:rsid w:val="00750817"/>
    <w:rsid w:val="00B1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7"/>
  </w:style>
  <w:style w:type="paragraph" w:styleId="Balk1">
    <w:name w:val="heading 1"/>
    <w:basedOn w:val="Normal"/>
    <w:link w:val="Balk1Char"/>
    <w:uiPriority w:val="9"/>
    <w:qFormat/>
    <w:rsid w:val="000F2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0F2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252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0F25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1011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26">
              <w:marLeft w:val="626"/>
              <w:marRight w:val="0"/>
              <w:marTop w:val="38"/>
              <w:marBottom w:val="250"/>
              <w:divBdr>
                <w:top w:val="single" w:sz="4" w:space="1" w:color="E8EAEC"/>
                <w:left w:val="single" w:sz="4" w:space="1" w:color="E8EAEC"/>
                <w:bottom w:val="single" w:sz="4" w:space="1" w:color="E8EAEC"/>
                <w:right w:val="single" w:sz="4" w:space="1" w:color="E8EAE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msunmakina.com.tr/_images/_urun/_vana/_sayfa/vantuz_big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masaüstü</dc:creator>
  <cp:keywords/>
  <dc:description/>
  <cp:lastModifiedBy>masaüstü</cp:lastModifiedBy>
  <cp:revision>2</cp:revision>
  <dcterms:created xsi:type="dcterms:W3CDTF">2020-11-18T07:30:00Z</dcterms:created>
  <dcterms:modified xsi:type="dcterms:W3CDTF">2020-11-18T07:31:00Z</dcterms:modified>
</cp:coreProperties>
</file>