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tblPr>
      <w:tblGrid>
        <w:gridCol w:w="540"/>
        <w:gridCol w:w="1242"/>
        <w:gridCol w:w="5812"/>
        <w:gridCol w:w="567"/>
        <w:gridCol w:w="992"/>
        <w:gridCol w:w="930"/>
      </w:tblGrid>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w:t>
            </w:r>
          </w:p>
        </w:tc>
        <w:tc>
          <w:tcPr>
            <w:tcW w:w="1242" w:type="dxa"/>
            <w:vAlign w:val="center"/>
          </w:tcPr>
          <w:p w:rsidR="00EE03A0" w:rsidRPr="005E54AF" w:rsidRDefault="00B411DF" w:rsidP="006023AD">
            <w:pPr>
              <w:ind w:left="-57" w:right="-113"/>
              <w:rPr>
                <w:sz w:val="16"/>
                <w:szCs w:val="16"/>
              </w:rPr>
            </w:pPr>
            <w:r w:rsidRPr="005E54AF">
              <w:rPr>
                <w:sz w:val="16"/>
                <w:szCs w:val="16"/>
              </w:rPr>
              <w:t>151-301</w:t>
            </w:r>
          </w:p>
        </w:tc>
        <w:tc>
          <w:tcPr>
            <w:tcW w:w="5812" w:type="dxa"/>
            <w:noWrap/>
            <w:vAlign w:val="center"/>
          </w:tcPr>
          <w:p w:rsidR="00EE03A0" w:rsidRPr="00ED7C2A" w:rsidRDefault="00EE03A0" w:rsidP="00E72872">
            <w:pPr>
              <w:rPr>
                <w:sz w:val="18"/>
                <w:szCs w:val="18"/>
              </w:rPr>
            </w:pPr>
            <w:r w:rsidRPr="00ED7C2A">
              <w:rPr>
                <w:sz w:val="18"/>
                <w:szCs w:val="18"/>
              </w:rPr>
              <w:t xml:space="preserve">30.000 kcal/h 37 kW, KATI YAKITLI DÖKME DİLİMLİ KALORİFER KAZANLARI (TS EN 303-5, TS EN 12809) (İşletme Basıncı 6 atü'ye kadar)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TS EN 303-5 standardında istenilen konstrüksiyon basıncına göre termodinamik ve mukavemet hesapları yapılmış, Türk Standartlarından alınmış Uygunluk Belgesine sahip kazanın, standarda uygun olarak kapasite ve ısıl verim raporu olan ve kapasite ve ısıl değerleri TSE'lerdeki minimum değerden düşük olmayacak, kazanın imali, işyerine nakli, temel kaidesi üzerine montajı ve çalışır halde teslimi.  Not: 305/2011/AB Yapı Malzemeleri Yönetmeliğine, 2014/68/EU Basınçlı Ekipmanlar Yönetmeliğinde el ile katı yakıtla beslenen ve 50 bar x litreden daha büyük PS x V değeri olan, 110 º C’ dan daha fazla olmayan sıcaklıkta sıcak su üretmesi planlanan donanımların, bu Yönetmeliğin ekinde yer alan (EK-1) madde 2.10, madde 2.11, madde 3.4, madde 5 (a) ve madde 5 (ç)’ de belirtilen temel gereklere uygun olarak üretilmiş,, CE uygunluk işaretiyle piyasaya arz edilmiş; “Isınmadan Kaynaklanan Hava Kirliliğinin Kontrolü Yönetmenliği” ile “Sanayi Kaynaklı Hava Kirliliğinin Kontrolü Yönetmenliği"ne uygun olacaktır.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2</w:t>
            </w:r>
          </w:p>
        </w:tc>
        <w:tc>
          <w:tcPr>
            <w:tcW w:w="1242" w:type="dxa"/>
            <w:vAlign w:val="center"/>
          </w:tcPr>
          <w:p w:rsidR="00EE03A0" w:rsidRPr="005E54AF" w:rsidRDefault="00B411DF" w:rsidP="006023AD">
            <w:pPr>
              <w:ind w:left="-57" w:right="-113"/>
              <w:rPr>
                <w:sz w:val="16"/>
                <w:szCs w:val="16"/>
              </w:rPr>
            </w:pPr>
            <w:r w:rsidRPr="005E54AF">
              <w:rPr>
                <w:sz w:val="16"/>
                <w:szCs w:val="16"/>
              </w:rPr>
              <w:t>164-100</w:t>
            </w:r>
          </w:p>
        </w:tc>
        <w:tc>
          <w:tcPr>
            <w:tcW w:w="5812" w:type="dxa"/>
            <w:noWrap/>
            <w:vAlign w:val="center"/>
          </w:tcPr>
          <w:p w:rsidR="00EE03A0" w:rsidRPr="00ED7C2A" w:rsidRDefault="00EE03A0" w:rsidP="00E72872">
            <w:pPr>
              <w:rPr>
                <w:sz w:val="18"/>
                <w:szCs w:val="18"/>
              </w:rPr>
            </w:pPr>
            <w:r w:rsidRPr="00ED7C2A">
              <w:rPr>
                <w:sz w:val="18"/>
                <w:szCs w:val="18"/>
              </w:rPr>
              <w:t xml:space="preserve">Ø=100 mm 1 Atmosfer kadar bölüntülü, MANOMETRE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TS EN 837-1/3, TS EN 542 standardı ve 2014/68/AB Basınçlı Ekipmanlar yönetmeliğine uygun olarak üretilmiş, CE uygunluk işaretiyle piyasa arz edilmiş, belirtilen çaplarda, skalası kolay okunabilir, 3 ağızlı musluklu komple manometrenin işyerinde temini ve yerine montajı.</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3</w:t>
            </w:r>
          </w:p>
        </w:tc>
        <w:tc>
          <w:tcPr>
            <w:tcW w:w="1242" w:type="dxa"/>
            <w:vAlign w:val="center"/>
          </w:tcPr>
          <w:p w:rsidR="00EE03A0" w:rsidRPr="005E54AF" w:rsidRDefault="00B411DF" w:rsidP="006023AD">
            <w:pPr>
              <w:ind w:left="-57" w:right="-113"/>
              <w:rPr>
                <w:sz w:val="16"/>
                <w:szCs w:val="16"/>
              </w:rPr>
            </w:pPr>
            <w:r w:rsidRPr="005E54AF">
              <w:rPr>
                <w:sz w:val="16"/>
                <w:szCs w:val="16"/>
              </w:rPr>
              <w:t>165-708</w:t>
            </w:r>
          </w:p>
        </w:tc>
        <w:tc>
          <w:tcPr>
            <w:tcW w:w="5812" w:type="dxa"/>
            <w:noWrap/>
            <w:vAlign w:val="center"/>
          </w:tcPr>
          <w:p w:rsidR="00EE03A0" w:rsidRPr="00ED7C2A" w:rsidRDefault="00EE03A0" w:rsidP="00E72872">
            <w:pPr>
              <w:rPr>
                <w:sz w:val="18"/>
                <w:szCs w:val="18"/>
              </w:rPr>
            </w:pPr>
            <w:r w:rsidRPr="00ED7C2A">
              <w:rPr>
                <w:sz w:val="18"/>
                <w:szCs w:val="18"/>
              </w:rPr>
              <w:t xml:space="preserve">Panel radyatör, (Tip 22) 600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Yapısal konstrüksiyonu TS EN 442-1standardına uygun, ısıl güçlerini onaylanmış kuruluş tarafından laboratuar raporuyla kanıtlayan, su geçen yüzeylerde TS EN 10130 standardına göre Fe P01 kalite ve minimum1,11 mm. kalınlıkta soğuk çekilmiş sacdan imal, TS EN 442/1 standardına göre maksimum çalışma basıncının en az 1,3 katı basınçta (en az 520 kPa) test edilmiş, TS EN 442/2 standardına göre test edilerek ısıl güçleri tespit edilmiş, çinko veya demir fosfat üzerine astar boyalı ve son kat elektrostatik toz boyalı, ambalajlı olarak, radyatör montaj elemanları, pürjör dahil işyerinde temini ve montajı.(Tip XY, X panel sayısı, Y konvektör.)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4</w:t>
            </w:r>
          </w:p>
        </w:tc>
        <w:tc>
          <w:tcPr>
            <w:tcW w:w="1242" w:type="dxa"/>
            <w:vAlign w:val="center"/>
          </w:tcPr>
          <w:p w:rsidR="00EE03A0" w:rsidRPr="005E54AF" w:rsidRDefault="00B411DF" w:rsidP="006023AD">
            <w:pPr>
              <w:ind w:left="-57" w:right="-113"/>
              <w:rPr>
                <w:sz w:val="16"/>
                <w:szCs w:val="16"/>
              </w:rPr>
            </w:pPr>
            <w:r w:rsidRPr="005E54AF">
              <w:rPr>
                <w:sz w:val="16"/>
                <w:szCs w:val="16"/>
              </w:rPr>
              <w:t>170-201</w:t>
            </w:r>
          </w:p>
        </w:tc>
        <w:tc>
          <w:tcPr>
            <w:tcW w:w="5812" w:type="dxa"/>
            <w:noWrap/>
            <w:vAlign w:val="center"/>
          </w:tcPr>
          <w:p w:rsidR="00EE03A0" w:rsidRPr="00ED7C2A" w:rsidRDefault="00EE03A0" w:rsidP="00E72872">
            <w:pPr>
              <w:rPr>
                <w:sz w:val="18"/>
                <w:szCs w:val="18"/>
              </w:rPr>
            </w:pPr>
            <w:r w:rsidRPr="00ED7C2A">
              <w:rPr>
                <w:sz w:val="18"/>
                <w:szCs w:val="18"/>
              </w:rPr>
              <w:t xml:space="preserve">15 Ø mm (1/2"), Köşe tipi radyatör musluğu (TS 579)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TS EN 215 veya TS 579'a uygun, idarenin uygun göreceği nitelikte radyatör musluğu ve bağlantı rakorunun (termostatlı olanlar termostatlı kafa ve adaptörü bağlantı rakoru ile birlikte) işyerinde temini ve yerine montajı.</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5</w:t>
            </w:r>
          </w:p>
        </w:tc>
        <w:tc>
          <w:tcPr>
            <w:tcW w:w="1242" w:type="dxa"/>
            <w:vAlign w:val="center"/>
          </w:tcPr>
          <w:p w:rsidR="00EE03A0" w:rsidRPr="005E54AF" w:rsidRDefault="00B411DF" w:rsidP="006023AD">
            <w:pPr>
              <w:ind w:left="-57" w:right="-113"/>
              <w:rPr>
                <w:sz w:val="16"/>
                <w:szCs w:val="16"/>
              </w:rPr>
            </w:pPr>
            <w:r w:rsidRPr="005E54AF">
              <w:rPr>
                <w:sz w:val="16"/>
                <w:szCs w:val="16"/>
              </w:rPr>
              <w:t>204-3102/A/3300</w:t>
            </w:r>
          </w:p>
        </w:tc>
        <w:tc>
          <w:tcPr>
            <w:tcW w:w="5812" w:type="dxa"/>
            <w:noWrap/>
            <w:vAlign w:val="center"/>
          </w:tcPr>
          <w:p w:rsidR="00EE03A0" w:rsidRPr="00ED7C2A" w:rsidRDefault="00EE03A0" w:rsidP="00E72872">
            <w:pPr>
              <w:rPr>
                <w:sz w:val="18"/>
                <w:szCs w:val="18"/>
              </w:rPr>
            </w:pPr>
            <w:r w:rsidRPr="00ED7C2A">
              <w:rPr>
                <w:sz w:val="18"/>
                <w:szCs w:val="18"/>
              </w:rPr>
              <w:t xml:space="preserve"> 3/4" 25/3,5 (Anma Ölçüsü Çap/ Et kalınlığı (Ø mm) PN 20 polipropilen borular ALÜMİNYUM FOLYOLU (OKSİJEN BARİYERLİ) KOMPOZİT PP-RC (Bina içinde fizyoterm kaynak ve vidalı, %45)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6</w:t>
            </w:r>
          </w:p>
        </w:tc>
        <w:tc>
          <w:tcPr>
            <w:tcW w:w="1242" w:type="dxa"/>
            <w:vAlign w:val="center"/>
          </w:tcPr>
          <w:p w:rsidR="00EE03A0" w:rsidRPr="005E54AF" w:rsidRDefault="00B411DF" w:rsidP="006023AD">
            <w:pPr>
              <w:ind w:left="-57" w:right="-113"/>
              <w:rPr>
                <w:sz w:val="16"/>
                <w:szCs w:val="16"/>
              </w:rPr>
            </w:pPr>
            <w:r w:rsidRPr="005E54AF">
              <w:rPr>
                <w:sz w:val="16"/>
                <w:szCs w:val="16"/>
              </w:rPr>
              <w:t>204-3103/A/3300</w:t>
            </w:r>
          </w:p>
        </w:tc>
        <w:tc>
          <w:tcPr>
            <w:tcW w:w="5812" w:type="dxa"/>
            <w:noWrap/>
            <w:vAlign w:val="center"/>
          </w:tcPr>
          <w:p w:rsidR="00EE03A0" w:rsidRPr="00ED7C2A" w:rsidRDefault="00EE03A0" w:rsidP="00E72872">
            <w:pPr>
              <w:rPr>
                <w:sz w:val="18"/>
                <w:szCs w:val="18"/>
              </w:rPr>
            </w:pPr>
            <w:r w:rsidRPr="00ED7C2A">
              <w:rPr>
                <w:sz w:val="18"/>
                <w:szCs w:val="18"/>
              </w:rPr>
              <w:t xml:space="preserve"> 1" 32/4,4 (Anma Ölçüsü Çap/ Et kalınlığı (Ø mm) PN 20 polipropilen borular ALÜMİNYUM FOLYOLU (OKSİJEN BARİYERLİ) KOMPOZİT PP-RC (Bina içinde fizyoterm kaynak ve vidalı, %45)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7</w:t>
            </w:r>
          </w:p>
        </w:tc>
        <w:tc>
          <w:tcPr>
            <w:tcW w:w="1242" w:type="dxa"/>
            <w:vAlign w:val="center"/>
          </w:tcPr>
          <w:p w:rsidR="00EE03A0" w:rsidRPr="005E54AF" w:rsidRDefault="00B411DF" w:rsidP="006023AD">
            <w:pPr>
              <w:ind w:left="-57" w:right="-113"/>
              <w:rPr>
                <w:sz w:val="16"/>
                <w:szCs w:val="16"/>
              </w:rPr>
            </w:pPr>
            <w:r w:rsidRPr="005E54AF">
              <w:rPr>
                <w:sz w:val="16"/>
                <w:szCs w:val="16"/>
              </w:rPr>
              <w:t>204-3104/A/3300</w:t>
            </w:r>
          </w:p>
        </w:tc>
        <w:tc>
          <w:tcPr>
            <w:tcW w:w="5812" w:type="dxa"/>
            <w:noWrap/>
            <w:vAlign w:val="center"/>
          </w:tcPr>
          <w:p w:rsidR="00EE03A0" w:rsidRPr="00ED7C2A" w:rsidRDefault="00EE03A0" w:rsidP="00E72872">
            <w:pPr>
              <w:rPr>
                <w:sz w:val="18"/>
                <w:szCs w:val="18"/>
              </w:rPr>
            </w:pPr>
            <w:r w:rsidRPr="00ED7C2A">
              <w:rPr>
                <w:sz w:val="18"/>
                <w:szCs w:val="18"/>
              </w:rPr>
              <w:t xml:space="preserve"> 11/4" 40/5,5 (Anma Ölçüsü Çap/ Et kalınlığı (Ø mm) PN 20 polipropilen borular ALÜMİNYUM FOLYOLU (OKSİJEN BARİYERLİ) KOMPOZİT PP-RC (Bina içinde fizyoterm kaynak ve vidalı, %45)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8</w:t>
            </w:r>
          </w:p>
        </w:tc>
        <w:tc>
          <w:tcPr>
            <w:tcW w:w="1242" w:type="dxa"/>
            <w:vAlign w:val="center"/>
          </w:tcPr>
          <w:p w:rsidR="00EE03A0" w:rsidRPr="005E54AF" w:rsidRDefault="00B411DF" w:rsidP="006023AD">
            <w:pPr>
              <w:ind w:left="-57" w:right="-113"/>
              <w:rPr>
                <w:sz w:val="16"/>
                <w:szCs w:val="16"/>
              </w:rPr>
            </w:pPr>
            <w:r w:rsidRPr="005E54AF">
              <w:rPr>
                <w:sz w:val="16"/>
                <w:szCs w:val="16"/>
              </w:rPr>
              <w:t>204-3105/A/3300</w:t>
            </w:r>
          </w:p>
        </w:tc>
        <w:tc>
          <w:tcPr>
            <w:tcW w:w="5812" w:type="dxa"/>
            <w:noWrap/>
            <w:vAlign w:val="center"/>
          </w:tcPr>
          <w:p w:rsidR="00EE03A0" w:rsidRPr="00ED7C2A" w:rsidRDefault="00EE03A0" w:rsidP="00E72872">
            <w:pPr>
              <w:rPr>
                <w:sz w:val="18"/>
                <w:szCs w:val="18"/>
              </w:rPr>
            </w:pPr>
            <w:r w:rsidRPr="00ED7C2A">
              <w:rPr>
                <w:sz w:val="18"/>
                <w:szCs w:val="18"/>
              </w:rPr>
              <w:t xml:space="preserve"> 11/2" 50/6,9 (Anma Ölçüsü Çap/ Et kalınlığı (Ø mm) PN 20 polipropilen borular ALÜMİNYUM FOLYOLU (OKSİJEN BARİYERLİ) KOMPOZİT PP-RC (Bina içinde fizyoterm kaynak ve vidalı, %45)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9</w:t>
            </w:r>
          </w:p>
        </w:tc>
        <w:tc>
          <w:tcPr>
            <w:tcW w:w="1242" w:type="dxa"/>
            <w:vAlign w:val="center"/>
          </w:tcPr>
          <w:p w:rsidR="00EE03A0" w:rsidRPr="005E54AF" w:rsidRDefault="00B411DF" w:rsidP="006023AD">
            <w:pPr>
              <w:ind w:left="-57" w:right="-113"/>
              <w:rPr>
                <w:sz w:val="16"/>
                <w:szCs w:val="16"/>
              </w:rPr>
            </w:pPr>
            <w:r w:rsidRPr="005E54AF">
              <w:rPr>
                <w:sz w:val="16"/>
                <w:szCs w:val="16"/>
              </w:rPr>
              <w:t>210-625</w:t>
            </w:r>
          </w:p>
        </w:tc>
        <w:tc>
          <w:tcPr>
            <w:tcW w:w="5812" w:type="dxa"/>
            <w:noWrap/>
            <w:vAlign w:val="center"/>
          </w:tcPr>
          <w:p w:rsidR="00EE03A0" w:rsidRPr="00ED7C2A" w:rsidRDefault="00EE03A0" w:rsidP="00E72872">
            <w:pPr>
              <w:rPr>
                <w:sz w:val="18"/>
                <w:szCs w:val="18"/>
              </w:rPr>
            </w:pPr>
            <w:r w:rsidRPr="00ED7C2A">
              <w:rPr>
                <w:sz w:val="18"/>
                <w:szCs w:val="18"/>
              </w:rPr>
              <w:t xml:space="preserve">25 Ø mm (1"), Pirinç, preste imal edilmiş teflon (PTFE), contalı, tam geçişli, vidalı, KÜRESEL VANALAR (TS 3148)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Pr="00BA13EB" w:rsidRDefault="00430174" w:rsidP="009335F8">
            <w:pPr>
              <w:rPr>
                <w:sz w:val="16"/>
                <w:szCs w:val="16"/>
              </w:rPr>
            </w:pPr>
            <w:r>
              <w:rPr>
                <w:sz w:val="16"/>
                <w:szCs w:val="16"/>
              </w:rPr>
              <w:t>Teknik Tarifi: 2014/68/AB Basınçlı Ekipmanlar Yönetmeliğine uygun, pirinçten kesici elemanlı, pik karbonlu çelik veya paslanmaz çelikten, vidalı, wafer, lug veya flanşlı, geçişe bir küre ile kumanda edilen, elle açılıp kapama düzenli küresel vanaların iş yerinde temini ve yerine montajı.</w:t>
            </w:r>
          </w:p>
        </w:tc>
      </w:tr>
      <w:tr w:rsidR="00EE03A0" w:rsidRPr="002F04C4" w:rsidTr="00D03248">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10</w:t>
            </w:r>
          </w:p>
        </w:tc>
        <w:tc>
          <w:tcPr>
            <w:tcW w:w="1242" w:type="dxa"/>
            <w:vAlign w:val="center"/>
          </w:tcPr>
          <w:p w:rsidR="00EE03A0" w:rsidRPr="005E54AF" w:rsidRDefault="00B411DF" w:rsidP="006023AD">
            <w:pPr>
              <w:ind w:left="-57" w:right="-113"/>
              <w:rPr>
                <w:sz w:val="16"/>
                <w:szCs w:val="16"/>
              </w:rPr>
            </w:pPr>
            <w:r w:rsidRPr="005E54AF">
              <w:rPr>
                <w:sz w:val="16"/>
                <w:szCs w:val="16"/>
              </w:rPr>
              <w:t>Y.23.167</w:t>
            </w:r>
          </w:p>
        </w:tc>
        <w:tc>
          <w:tcPr>
            <w:tcW w:w="5812" w:type="dxa"/>
            <w:noWrap/>
            <w:vAlign w:val="center"/>
          </w:tcPr>
          <w:p w:rsidR="00EE03A0" w:rsidRPr="00ED7C2A" w:rsidRDefault="00EE03A0" w:rsidP="00E72872">
            <w:pPr>
              <w:rPr>
                <w:sz w:val="18"/>
                <w:szCs w:val="18"/>
              </w:rPr>
            </w:pPr>
            <w:r w:rsidRPr="00ED7C2A">
              <w:rPr>
                <w:sz w:val="18"/>
                <w:szCs w:val="18"/>
              </w:rPr>
              <w:t xml:space="preserve">Çeşitli profil demiri ve sac levhalardan münferit imalat yapılması ve yerine konulması (su depoları ve benzeri) </w:t>
            </w:r>
          </w:p>
        </w:tc>
        <w:tc>
          <w:tcPr>
            <w:tcW w:w="567" w:type="dxa"/>
            <w:noWrap/>
            <w:vAlign w:val="center"/>
          </w:tcPr>
          <w:p w:rsidR="00EE03A0" w:rsidRPr="002F04C4" w:rsidRDefault="00EE03A0" w:rsidP="00E72872">
            <w:pPr>
              <w:jc w:val="center"/>
              <w:rPr>
                <w:sz w:val="16"/>
                <w:szCs w:val="16"/>
              </w:rPr>
            </w:pPr>
            <w:r w:rsidRPr="00BA13EB">
              <w:rPr>
                <w:sz w:val="16"/>
                <w:szCs w:val="16"/>
              </w:rPr>
              <w:t>kg</w:t>
            </w:r>
          </w:p>
        </w:tc>
        <w:tc>
          <w:tcPr>
            <w:tcW w:w="992" w:type="dxa"/>
            <w:noWrap/>
            <w:vAlign w:val="center"/>
          </w:tcPr>
          <w:p w:rsidR="00EE03A0" w:rsidRPr="00833BE5" w:rsidRDefault="00EE03A0" w:rsidP="00E72872">
            <w:pPr>
              <w:ind w:left="-70"/>
            </w:pPr>
          </w:p>
        </w:tc>
        <w:tc>
          <w:tcPr>
            <w:tcW w:w="930" w:type="dxa"/>
            <w:noWrap/>
            <w:vAlign w:val="center"/>
          </w:tcPr>
          <w:p w:rsidR="00EE03A0" w:rsidRPr="002F04C4" w:rsidRDefault="00EE03A0" w:rsidP="00E72872">
            <w:pPr>
              <w:ind w:left="-70"/>
              <w:rPr>
                <w:sz w:val="16"/>
                <w:szCs w:val="16"/>
              </w:rPr>
            </w:pPr>
          </w:p>
        </w:tc>
      </w:tr>
      <w:tr w:rsidR="00430174" w:rsidRPr="002F04C4" w:rsidTr="00D03248">
        <w:trPr>
          <w:trHeight w:val="284"/>
          <w:jc w:val="center"/>
        </w:trPr>
        <w:tc>
          <w:tcPr>
            <w:tcW w:w="540" w:type="dxa"/>
            <w:vAlign w:val="center"/>
          </w:tcPr>
          <w:p w:rsidR="00430174" w:rsidRPr="002F04C4" w:rsidRDefault="00430174" w:rsidP="009335F8">
            <w:pPr>
              <w:ind w:left="-70"/>
              <w:rPr>
                <w:sz w:val="16"/>
                <w:szCs w:val="16"/>
              </w:rPr>
            </w:pPr>
          </w:p>
        </w:tc>
        <w:tc>
          <w:tcPr>
            <w:tcW w:w="9543" w:type="dxa"/>
            <w:gridSpan w:val="5"/>
            <w:vAlign w:val="center"/>
          </w:tcPr>
          <w:p w:rsidR="00430174" w:rsidRDefault="00430174" w:rsidP="009335F8">
            <w:pPr>
              <w:rPr>
                <w:sz w:val="16"/>
                <w:szCs w:val="16"/>
              </w:rPr>
            </w:pPr>
            <w:r>
              <w:rPr>
                <w:sz w:val="16"/>
                <w:szCs w:val="16"/>
              </w:rPr>
              <w:t xml:space="preserve">Teknik Tarifi: 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genel giderleri ve kârı dâhil, (boya bedeli hariç) 1 kg fiyatı: </w:t>
            </w:r>
          </w:p>
          <w:p w:rsidR="00430174" w:rsidRDefault="00430174" w:rsidP="009335F8">
            <w:pPr>
              <w:rPr>
                <w:sz w:val="16"/>
                <w:szCs w:val="16"/>
              </w:rPr>
            </w:pPr>
            <w:r>
              <w:rPr>
                <w:sz w:val="16"/>
                <w:szCs w:val="16"/>
              </w:rPr>
              <w:t xml:space="preserve">ÖLÇÜ: </w:t>
            </w:r>
          </w:p>
          <w:p w:rsidR="00430174" w:rsidRDefault="00430174" w:rsidP="009335F8">
            <w:pPr>
              <w:rPr>
                <w:sz w:val="16"/>
                <w:szCs w:val="16"/>
              </w:rPr>
            </w:pPr>
            <w:r>
              <w:rPr>
                <w:sz w:val="16"/>
                <w:szCs w:val="16"/>
              </w:rPr>
              <w:t>İmalâtın esas aksamı, kilit, sürgü kolları, duvara konacak kenetlerle birlikte boyanmadan önce tartılır, ataşmana kaydedilerek yerine takılır. Bütün imalât aynı bedelle ödenir.</w:t>
            </w:r>
          </w:p>
          <w:p w:rsidR="00430174" w:rsidRDefault="00430174" w:rsidP="009335F8">
            <w:pPr>
              <w:rPr>
                <w:sz w:val="16"/>
                <w:szCs w:val="16"/>
              </w:rPr>
            </w:pPr>
            <w:r>
              <w:rPr>
                <w:sz w:val="16"/>
                <w:szCs w:val="16"/>
              </w:rPr>
              <w:t xml:space="preserve">NOT: </w:t>
            </w:r>
          </w:p>
          <w:p w:rsidR="00430174" w:rsidRDefault="00430174" w:rsidP="009335F8">
            <w:pPr>
              <w:rPr>
                <w:sz w:val="16"/>
                <w:szCs w:val="16"/>
              </w:rPr>
            </w:pPr>
            <w:r>
              <w:rPr>
                <w:sz w:val="16"/>
                <w:szCs w:val="16"/>
              </w:rPr>
              <w:t>1) Ancak demirden başka, metalden tezyinat konması, kilit, sürgü ya da kollardan bazı aksama nikelaj yapılması halinde işçilik ve malzeme giderleri ayrıca ödenir.</w:t>
            </w:r>
          </w:p>
          <w:p w:rsidR="00430174" w:rsidRDefault="00430174" w:rsidP="009335F8">
            <w:pPr>
              <w:rPr>
                <w:sz w:val="16"/>
                <w:szCs w:val="16"/>
              </w:rPr>
            </w:pPr>
            <w:r>
              <w:rPr>
                <w:sz w:val="16"/>
                <w:szCs w:val="16"/>
              </w:rPr>
              <w:t>2) Her türlü menteşe ve rulman bedelleri ile demirden gayri malzemeden mamul, ispanyolet, kilit ve benzeri malzeme bedeli fiyat tutanağı tanzimi suretiyle ayrıca ödenir.</w:t>
            </w:r>
          </w:p>
          <w:p w:rsidR="00430174" w:rsidRDefault="00430174" w:rsidP="009335F8">
            <w:pPr>
              <w:rPr>
                <w:sz w:val="16"/>
                <w:szCs w:val="16"/>
              </w:rPr>
            </w:pPr>
            <w:r>
              <w:rPr>
                <w:sz w:val="16"/>
                <w:szCs w:val="16"/>
              </w:rPr>
              <w:t>3) Madeni aksamın (menteşe, rulman, kilit, ispanyolet vs.) takılması karşılığı fiyata dâhildir.</w:t>
            </w:r>
          </w:p>
          <w:p w:rsidR="00430174" w:rsidRPr="00BA13EB" w:rsidRDefault="00430174" w:rsidP="009335F8">
            <w:pPr>
              <w:rPr>
                <w:sz w:val="16"/>
                <w:szCs w:val="16"/>
              </w:rPr>
            </w:pPr>
            <w:r>
              <w:rPr>
                <w:sz w:val="16"/>
                <w:szCs w:val="16"/>
              </w:rPr>
              <w:t>4)Ancak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bl>
    <w:p w:rsidR="004771C6" w:rsidRDefault="00395BD5" w:rsidP="004771C6">
      <w:pPr>
        <w:rPr>
          <w:sz w:val="16"/>
          <w:szCs w:val="16"/>
        </w:rPr>
      </w:pPr>
      <w:r>
        <w:rPr>
          <w:sz w:val="16"/>
          <w:szCs w:val="16"/>
        </w:rPr>
        <w:t xml:space="preserve"> </w:t>
      </w:r>
    </w:p>
    <w:p w:rsidR="004771C6" w:rsidRPr="000C4B70" w:rsidRDefault="004771C6" w:rsidP="004771C6">
      <w:pPr>
        <w:rPr>
          <w:b/>
          <w:bCs/>
        </w:rPr>
      </w:pPr>
    </w:p>
    <w:p w:rsidR="004771C6" w:rsidRDefault="004771C6" w:rsidP="004771C6"/>
    <w:sectPr w:rsidR="004771C6" w:rsidSect="00213CD9">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134" w:header="1134"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D9" w:rsidRDefault="00C641D9">
      <w:r>
        <w:separator/>
      </w:r>
    </w:p>
  </w:endnote>
  <w:endnote w:type="continuationSeparator" w:id="1">
    <w:p w:rsidR="00C641D9" w:rsidRDefault="00C64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8" w:rsidRDefault="00D768C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33" w:rsidRDefault="009F2733" w:rsidP="009F2733">
    <w:pPr>
      <w:rPr>
        <w:rStyle w:val="SayfaNumaras"/>
        <w:rFonts w:cs="Arial"/>
      </w:rPr>
    </w:pPr>
  </w:p>
  <w:p w:rsidR="00CB5F86" w:rsidRDefault="00CB5F86" w:rsidP="00CB5F86">
    <w:pPr>
      <w:pStyle w:val="Altbilgi"/>
      <w:jc w:val="right"/>
    </w:pPr>
    <w:r>
      <w:rPr>
        <w:color w:val="A6A6A6"/>
        <w:sz w:val="16"/>
        <w:szCs w:val="16"/>
      </w:rPr>
      <w:t>Oska/012-y</w:t>
    </w:r>
    <w:r w:rsidR="00E259CA">
      <w:rPr>
        <w:color w:val="A6A6A6"/>
        <w:sz w:val="16"/>
        <w:szCs w:val="16"/>
      </w:rPr>
      <w:t>t</w:t>
    </w:r>
    <w:r w:rsidR="00C814F3">
      <w:rPr>
        <w:color w:val="A6A6A6"/>
        <w:sz w:val="16"/>
        <w:szCs w:val="16"/>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8" w:rsidRDefault="00D768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D9" w:rsidRDefault="00C641D9">
      <w:r>
        <w:separator/>
      </w:r>
    </w:p>
  </w:footnote>
  <w:footnote w:type="continuationSeparator" w:id="1">
    <w:p w:rsidR="00C641D9" w:rsidRDefault="00C64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8" w:rsidRDefault="00D768C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24" w:type="pct"/>
      <w:jc w:val="center"/>
      <w:tblLook w:val="04A0"/>
    </w:tblPr>
    <w:tblGrid>
      <w:gridCol w:w="222"/>
      <w:gridCol w:w="10445"/>
      <w:gridCol w:w="222"/>
    </w:tblGrid>
    <w:tr w:rsidR="00655CAB" w:rsidTr="00655CAB">
      <w:trPr>
        <w:jc w:val="center"/>
      </w:trPr>
      <w:tc>
        <w:tcPr>
          <w:tcW w:w="50" w:type="pct"/>
          <w:vAlign w:val="center"/>
          <w:hideMark/>
        </w:tcPr>
        <w:p w:rsidR="00655CAB" w:rsidRDefault="00655CAB">
          <w:pPr>
            <w:pStyle w:val="stbilgi"/>
            <w:tabs>
              <w:tab w:val="left" w:pos="4290"/>
            </w:tabs>
            <w:spacing w:line="276" w:lineRule="auto"/>
            <w:jc w:val="center"/>
          </w:pPr>
        </w:p>
      </w:tc>
      <w:tc>
        <w:tcPr>
          <w:tcW w:w="4950" w:type="pct"/>
          <w:vAlign w:val="center"/>
          <w:hideMark/>
        </w:tcPr>
        <w:p w:rsidR="00655CAB" w:rsidRDefault="00655CAB">
          <w:pPr>
            <w:autoSpaceDE w:val="0"/>
            <w:autoSpaceDN w:val="0"/>
            <w:adjustRightInd w:val="0"/>
            <w:jc w:val="center"/>
            <w:rPr>
              <w:rFonts w:ascii="Verdana" w:hAnsi="Verdana"/>
              <w:b/>
              <w:sz w:val="32"/>
            </w:rPr>
          </w:pPr>
          <w:r>
            <w:rPr>
              <w:rFonts w:ascii="Verdana" w:hAnsi="Verdana"/>
              <w:b/>
              <w:sz w:val="32"/>
            </w:rPr>
            <w:t xml:space="preserve">İhale </w:t>
          </w:r>
        </w:p>
        <w:p w:rsidR="00655CAB" w:rsidRDefault="00655CAB">
          <w:pPr>
            <w:pStyle w:val="stbilgi"/>
            <w:tabs>
              <w:tab w:val="left" w:pos="708"/>
            </w:tabs>
            <w:spacing w:line="276" w:lineRule="auto"/>
            <w:ind w:left="-109" w:right="-109"/>
            <w:jc w:val="center"/>
          </w:pPr>
          <w:r>
            <w:rPr>
              <w:rFonts w:ascii="Verdana" w:hAnsi="Verdana"/>
              <w:b/>
              <w:sz w:val="32"/>
            </w:rPr>
            <w:t>Makamı</w:t>
          </w:r>
        </w:p>
      </w:tc>
      <w:tc>
        <w:tcPr>
          <w:tcW w:w="50" w:type="pct"/>
        </w:tcPr>
        <w:p w:rsidR="00655CAB" w:rsidRDefault="00655CAB">
          <w:pPr>
            <w:pStyle w:val="stbilgi"/>
            <w:tabs>
              <w:tab w:val="left" w:pos="708"/>
            </w:tabs>
            <w:spacing w:line="276" w:lineRule="auto"/>
            <w:ind w:right="2276"/>
            <w:jc w:val="center"/>
          </w:pPr>
        </w:p>
      </w:tc>
    </w:tr>
  </w:tbl>
  <w:p w:rsidR="00932E17" w:rsidRDefault="00E20110" w:rsidP="00166133">
    <w:pPr>
      <w:spacing w:before="120"/>
      <w:jc w:val="center"/>
      <w:rPr>
        <w:b/>
        <w:bCs/>
        <w:sz w:val="24"/>
        <w:szCs w:val="24"/>
        <w:lang w:val="en-US"/>
      </w:rPr>
    </w:pPr>
    <w:r>
      <w:rPr>
        <w:b/>
        <w:bCs/>
        <w:sz w:val="24"/>
        <w:szCs w:val="24"/>
      </w:rPr>
      <w:t>TEKNİK ŞARTNAME (İş Kalemleri)</w:t>
    </w:r>
  </w:p>
  <w:p w:rsidR="00791E05" w:rsidRDefault="00791E05" w:rsidP="00F254FD">
    <w:pPr>
      <w:jc w:val="center"/>
      <w:rPr>
        <w:b/>
        <w:bCs/>
      </w:rPr>
    </w:pPr>
  </w:p>
  <w:tbl>
    <w:tblPr>
      <w:tblW w:w="10083" w:type="dxa"/>
      <w:jc w:val="center"/>
      <w:tblLayout w:type="fixed"/>
      <w:tblCellMar>
        <w:left w:w="70" w:type="dxa"/>
        <w:right w:w="70" w:type="dxa"/>
      </w:tblCellMar>
      <w:tblLook w:val="0000"/>
    </w:tblPr>
    <w:tblGrid>
      <w:gridCol w:w="540"/>
      <w:gridCol w:w="1242"/>
      <w:gridCol w:w="5812"/>
      <w:gridCol w:w="567"/>
      <w:gridCol w:w="56"/>
      <w:gridCol w:w="936"/>
      <w:gridCol w:w="930"/>
    </w:tblGrid>
    <w:tr w:rsidR="003E1F3A" w:rsidRPr="00955CFA" w:rsidTr="00D03248">
      <w:trPr>
        <w:trHeight w:val="340"/>
        <w:jc w:val="center"/>
      </w:trPr>
      <w:tc>
        <w:tcPr>
          <w:tcW w:w="8217" w:type="dxa"/>
          <w:gridSpan w:val="5"/>
          <w:tcBorders>
            <w:top w:val="nil"/>
            <w:left w:val="nil"/>
            <w:bottom w:val="single" w:sz="4" w:space="0" w:color="7F7F7F"/>
            <w:right w:val="nil"/>
          </w:tcBorders>
          <w:noWrap/>
          <w:vAlign w:val="center"/>
        </w:tcPr>
        <w:p w:rsidR="003E1F3A" w:rsidRPr="00955CFA" w:rsidRDefault="00460B34" w:rsidP="004C21E9">
          <w:r w:rsidRPr="00955CFA">
            <w:rPr>
              <w:b/>
              <w:bCs/>
              <w:lang w:val="en-US"/>
            </w:rPr>
            <w:t>İşin Adı</w:t>
          </w:r>
          <w:r>
            <w:rPr>
              <w:b/>
              <w:bCs/>
              <w:lang w:val="en-US"/>
            </w:rPr>
            <w:t xml:space="preserve">: </w:t>
          </w:r>
          <w:r>
            <w:rPr>
              <w:bCs/>
            </w:rPr>
            <w:t>TAŞLIÇAY İLÇESİ KUMLUCAANAOKULU KALORİFER YAPIMI</w:t>
          </w:r>
        </w:p>
      </w:tc>
      <w:tc>
        <w:tcPr>
          <w:tcW w:w="1866" w:type="dxa"/>
          <w:gridSpan w:val="2"/>
          <w:tcBorders>
            <w:top w:val="nil"/>
            <w:left w:val="nil"/>
            <w:bottom w:val="single" w:sz="4" w:space="0" w:color="7F7F7F"/>
            <w:right w:val="nil"/>
          </w:tcBorders>
          <w:noWrap/>
          <w:vAlign w:val="center"/>
        </w:tcPr>
        <w:p w:rsidR="003E1F3A" w:rsidRPr="00BF7769" w:rsidRDefault="00D768C8" w:rsidP="00025879">
          <w:pPr>
            <w:jc w:val="right"/>
            <w:rPr>
              <w:rFonts w:ascii="Arial TUR" w:hAnsi="Arial TUR" w:cs="Arial TUR"/>
            </w:rPr>
          </w:pPr>
          <w:r w:rsidRPr="00BF7769">
            <w:rPr>
              <w:rFonts w:ascii="Arial TUR" w:hAnsi="Arial TUR" w:cs="Arial TUR"/>
            </w:rPr>
            <w:t xml:space="preserve">Sayfa </w:t>
          </w:r>
          <w:r w:rsidRPr="00BF7769">
            <w:rPr>
              <w:rFonts w:ascii="Arial TUR" w:hAnsi="Arial TUR" w:cs="Arial TUR"/>
              <w:bCs/>
            </w:rPr>
            <w:fldChar w:fldCharType="begin"/>
          </w:r>
          <w:r w:rsidRPr="00BF7769">
            <w:rPr>
              <w:rFonts w:ascii="Arial TUR" w:hAnsi="Arial TUR" w:cs="Arial TUR"/>
              <w:bCs/>
            </w:rPr>
            <w:instrText>PAGE  \* Arabic  \* MERGEFORMAT</w:instrText>
          </w:r>
          <w:r w:rsidRPr="00BF7769">
            <w:rPr>
              <w:rFonts w:ascii="Arial TUR" w:hAnsi="Arial TUR" w:cs="Arial TUR"/>
              <w:bCs/>
            </w:rPr>
            <w:fldChar w:fldCharType="separate"/>
          </w:r>
          <w:r w:rsidR="00360D1A">
            <w:rPr>
              <w:rFonts w:ascii="Arial TUR" w:hAnsi="Arial TUR" w:cs="Arial TUR"/>
              <w:bCs/>
              <w:noProof/>
            </w:rPr>
            <w:t>2</w:t>
          </w:r>
          <w:r w:rsidRPr="00BF7769">
            <w:rPr>
              <w:rFonts w:ascii="Arial TUR" w:hAnsi="Arial TUR" w:cs="Arial TUR"/>
              <w:bCs/>
            </w:rPr>
            <w:fldChar w:fldCharType="end"/>
          </w:r>
          <w:r w:rsidRPr="00BF7769">
            <w:rPr>
              <w:rFonts w:ascii="Arial TUR" w:hAnsi="Arial TUR" w:cs="Arial TUR"/>
            </w:rPr>
            <w:t xml:space="preserve"> / </w:t>
          </w:r>
          <w:fldSimple w:instr="NUMPAGES  \* Arabic  \* MERGEFORMAT">
            <w:r w:rsidR="00360D1A">
              <w:rPr>
                <w:rFonts w:ascii="Arial TUR" w:hAnsi="Arial TUR" w:cs="Arial TUR"/>
                <w:bCs/>
                <w:noProof/>
              </w:rPr>
              <w:t>2</w:t>
            </w:r>
          </w:fldSimple>
        </w:p>
      </w:tc>
    </w:tr>
    <w:tr w:rsidR="00CB2EA6" w:rsidRPr="002F04C4" w:rsidTr="00D0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40" w:type="dxa"/>
          <w:tcBorders>
            <w:top w:val="single" w:sz="4" w:space="0" w:color="7F7F7F"/>
            <w:left w:val="single" w:sz="4" w:space="0" w:color="7F7F7F"/>
            <w:bottom w:val="single" w:sz="4" w:space="0" w:color="7F7F7F"/>
            <w:right w:val="single" w:sz="4" w:space="0" w:color="7F7F7F"/>
          </w:tcBorders>
          <w:noWrap/>
          <w:vAlign w:val="center"/>
        </w:tcPr>
        <w:p w:rsidR="00CB2EA6" w:rsidRDefault="00CB2EA6" w:rsidP="001E550D">
          <w:pPr>
            <w:jc w:val="center"/>
            <w:rPr>
              <w:b/>
              <w:bCs/>
              <w:sz w:val="16"/>
              <w:szCs w:val="16"/>
            </w:rPr>
          </w:pPr>
          <w:r>
            <w:rPr>
              <w:b/>
              <w:bCs/>
              <w:sz w:val="16"/>
              <w:szCs w:val="16"/>
            </w:rPr>
            <w:t>S.</w:t>
          </w:r>
        </w:p>
        <w:p w:rsidR="00CB2EA6" w:rsidRPr="002F04C4" w:rsidRDefault="00CB2EA6" w:rsidP="001E550D">
          <w:pPr>
            <w:jc w:val="center"/>
            <w:rPr>
              <w:b/>
              <w:bCs/>
              <w:sz w:val="16"/>
              <w:szCs w:val="16"/>
            </w:rPr>
          </w:pPr>
          <w:r w:rsidRPr="002F04C4">
            <w:rPr>
              <w:b/>
              <w:bCs/>
              <w:sz w:val="16"/>
              <w:szCs w:val="16"/>
            </w:rPr>
            <w:t>No</w:t>
          </w:r>
        </w:p>
      </w:tc>
      <w:tc>
        <w:tcPr>
          <w:tcW w:w="1242" w:type="dxa"/>
          <w:tcBorders>
            <w:top w:val="single" w:sz="4" w:space="0" w:color="7F7F7F"/>
            <w:left w:val="single" w:sz="4" w:space="0" w:color="7F7F7F"/>
            <w:bottom w:val="single" w:sz="4" w:space="0" w:color="7F7F7F"/>
            <w:right w:val="single" w:sz="4" w:space="0" w:color="7F7F7F"/>
          </w:tcBorders>
          <w:vAlign w:val="center"/>
        </w:tcPr>
        <w:p w:rsidR="00CB2EA6" w:rsidRPr="002F04C4" w:rsidRDefault="00CB2EA6" w:rsidP="001E550D">
          <w:pPr>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noWrap/>
          <w:vAlign w:val="center"/>
        </w:tcPr>
        <w:p w:rsidR="00CB2EA6" w:rsidRPr="002F04C4" w:rsidRDefault="00CB2EA6" w:rsidP="001E550D">
          <w:pPr>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noWrap/>
          <w:vAlign w:val="center"/>
        </w:tcPr>
        <w:p w:rsidR="00CB2EA6" w:rsidRPr="002F04C4" w:rsidRDefault="00CB2EA6" w:rsidP="001E550D">
          <w:pPr>
            <w:ind w:left="-70" w:right="-70"/>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noWrap/>
          <w:vAlign w:val="center"/>
        </w:tcPr>
        <w:p w:rsidR="00CB2EA6" w:rsidRPr="002F04C4" w:rsidRDefault="00CB2EA6" w:rsidP="001E550D">
          <w:pPr>
            <w:jc w:val="center"/>
            <w:rPr>
              <w:b/>
              <w:bCs/>
              <w:sz w:val="16"/>
              <w:szCs w:val="16"/>
            </w:rPr>
          </w:pPr>
          <w:r w:rsidRPr="002F04C4">
            <w:rPr>
              <w:b/>
              <w:bCs/>
              <w:sz w:val="16"/>
              <w:szCs w:val="16"/>
            </w:rPr>
            <w:t>Miktarı</w:t>
          </w:r>
        </w:p>
      </w:tc>
      <w:tc>
        <w:tcPr>
          <w:tcW w:w="930" w:type="dxa"/>
          <w:tcBorders>
            <w:top w:val="single" w:sz="4" w:space="0" w:color="7F7F7F"/>
            <w:left w:val="single" w:sz="4" w:space="0" w:color="7F7F7F"/>
            <w:bottom w:val="single" w:sz="4" w:space="0" w:color="7F7F7F"/>
            <w:right w:val="single" w:sz="4" w:space="0" w:color="7F7F7F"/>
          </w:tcBorders>
          <w:noWrap/>
          <w:vAlign w:val="center"/>
        </w:tcPr>
        <w:p w:rsidR="00CB2EA6" w:rsidRDefault="00CB2EA6" w:rsidP="001E550D">
          <w:pPr>
            <w:ind w:left="-70"/>
            <w:jc w:val="center"/>
            <w:rPr>
              <w:b/>
              <w:bCs/>
              <w:sz w:val="16"/>
              <w:szCs w:val="16"/>
            </w:rPr>
          </w:pPr>
          <w:r w:rsidRPr="002F04C4">
            <w:rPr>
              <w:b/>
              <w:bCs/>
              <w:sz w:val="16"/>
              <w:szCs w:val="16"/>
            </w:rPr>
            <w:t>Pursantaj</w:t>
          </w:r>
        </w:p>
        <w:p w:rsidR="00CB2EA6" w:rsidRPr="002F04C4" w:rsidRDefault="00CB2EA6" w:rsidP="001E550D">
          <w:pPr>
            <w:jc w:val="center"/>
            <w:rPr>
              <w:b/>
              <w:bCs/>
              <w:sz w:val="16"/>
              <w:szCs w:val="16"/>
            </w:rPr>
          </w:pPr>
          <w:r>
            <w:rPr>
              <w:b/>
              <w:bCs/>
              <w:sz w:val="16"/>
              <w:szCs w:val="16"/>
            </w:rPr>
            <w:t>(%)</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8" w:rsidRDefault="00D768C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872557"/>
    <w:rsid w:val="00007CAB"/>
    <w:rsid w:val="000143D8"/>
    <w:rsid w:val="0001499A"/>
    <w:rsid w:val="00023BD9"/>
    <w:rsid w:val="00025879"/>
    <w:rsid w:val="0008152C"/>
    <w:rsid w:val="00082BB3"/>
    <w:rsid w:val="000A3DE1"/>
    <w:rsid w:val="000C007C"/>
    <w:rsid w:val="000C3AB7"/>
    <w:rsid w:val="000C4B70"/>
    <w:rsid w:val="000C4DFD"/>
    <w:rsid w:val="000C5DBB"/>
    <w:rsid w:val="000D016C"/>
    <w:rsid w:val="000D3C80"/>
    <w:rsid w:val="000F5996"/>
    <w:rsid w:val="000F5AAA"/>
    <w:rsid w:val="00112929"/>
    <w:rsid w:val="00113853"/>
    <w:rsid w:val="001303F7"/>
    <w:rsid w:val="00155BC9"/>
    <w:rsid w:val="00166133"/>
    <w:rsid w:val="001853D8"/>
    <w:rsid w:val="001C6A1E"/>
    <w:rsid w:val="001E550D"/>
    <w:rsid w:val="001E5DA8"/>
    <w:rsid w:val="00201857"/>
    <w:rsid w:val="002053B5"/>
    <w:rsid w:val="00213CD9"/>
    <w:rsid w:val="002328B1"/>
    <w:rsid w:val="0025294F"/>
    <w:rsid w:val="00292094"/>
    <w:rsid w:val="002A5646"/>
    <w:rsid w:val="002A69E7"/>
    <w:rsid w:val="002C23ED"/>
    <w:rsid w:val="002D6CCE"/>
    <w:rsid w:val="002E1E9C"/>
    <w:rsid w:val="002E755A"/>
    <w:rsid w:val="002F04C4"/>
    <w:rsid w:val="003204F7"/>
    <w:rsid w:val="0033763C"/>
    <w:rsid w:val="003409F5"/>
    <w:rsid w:val="00360D1A"/>
    <w:rsid w:val="003667CB"/>
    <w:rsid w:val="00395BD5"/>
    <w:rsid w:val="003B474D"/>
    <w:rsid w:val="003B6C8E"/>
    <w:rsid w:val="003E1F3A"/>
    <w:rsid w:val="003E3C6F"/>
    <w:rsid w:val="003F1BED"/>
    <w:rsid w:val="003F6DAB"/>
    <w:rsid w:val="0040508B"/>
    <w:rsid w:val="0042773F"/>
    <w:rsid w:val="00430174"/>
    <w:rsid w:val="004442F7"/>
    <w:rsid w:val="00445426"/>
    <w:rsid w:val="0045215D"/>
    <w:rsid w:val="00453505"/>
    <w:rsid w:val="00455B6C"/>
    <w:rsid w:val="00460B34"/>
    <w:rsid w:val="00463B0B"/>
    <w:rsid w:val="00476D9C"/>
    <w:rsid w:val="004771C6"/>
    <w:rsid w:val="00483BC0"/>
    <w:rsid w:val="004B4139"/>
    <w:rsid w:val="004C21E9"/>
    <w:rsid w:val="004E4902"/>
    <w:rsid w:val="004E520C"/>
    <w:rsid w:val="004F0EE3"/>
    <w:rsid w:val="005003DE"/>
    <w:rsid w:val="00525138"/>
    <w:rsid w:val="0055275B"/>
    <w:rsid w:val="0055446A"/>
    <w:rsid w:val="005553CA"/>
    <w:rsid w:val="00570F61"/>
    <w:rsid w:val="00587384"/>
    <w:rsid w:val="00591584"/>
    <w:rsid w:val="005D70FA"/>
    <w:rsid w:val="005E28A5"/>
    <w:rsid w:val="005E54AF"/>
    <w:rsid w:val="005F092A"/>
    <w:rsid w:val="006023AD"/>
    <w:rsid w:val="00636A12"/>
    <w:rsid w:val="00642997"/>
    <w:rsid w:val="00650869"/>
    <w:rsid w:val="00655CAB"/>
    <w:rsid w:val="0066459B"/>
    <w:rsid w:val="006A54EB"/>
    <w:rsid w:val="006C064E"/>
    <w:rsid w:val="006C76EB"/>
    <w:rsid w:val="006D7E1A"/>
    <w:rsid w:val="006E39C8"/>
    <w:rsid w:val="00707858"/>
    <w:rsid w:val="007103AD"/>
    <w:rsid w:val="007213E5"/>
    <w:rsid w:val="00765801"/>
    <w:rsid w:val="00777BCC"/>
    <w:rsid w:val="00777D1A"/>
    <w:rsid w:val="00791E05"/>
    <w:rsid w:val="00791E66"/>
    <w:rsid w:val="00794E7F"/>
    <w:rsid w:val="007B055F"/>
    <w:rsid w:val="007B6F00"/>
    <w:rsid w:val="007E78D4"/>
    <w:rsid w:val="007F2C9B"/>
    <w:rsid w:val="00806E34"/>
    <w:rsid w:val="00824D4D"/>
    <w:rsid w:val="00833BE5"/>
    <w:rsid w:val="00834C73"/>
    <w:rsid w:val="00846106"/>
    <w:rsid w:val="00872557"/>
    <w:rsid w:val="008A5646"/>
    <w:rsid w:val="008B741A"/>
    <w:rsid w:val="008C7837"/>
    <w:rsid w:val="008E2041"/>
    <w:rsid w:val="008E7721"/>
    <w:rsid w:val="008F442D"/>
    <w:rsid w:val="0091436B"/>
    <w:rsid w:val="00932E17"/>
    <w:rsid w:val="009335F8"/>
    <w:rsid w:val="00955CFA"/>
    <w:rsid w:val="009707FF"/>
    <w:rsid w:val="00971126"/>
    <w:rsid w:val="00990640"/>
    <w:rsid w:val="009A144A"/>
    <w:rsid w:val="009A4FA6"/>
    <w:rsid w:val="009B2A78"/>
    <w:rsid w:val="009B5B0A"/>
    <w:rsid w:val="009F2733"/>
    <w:rsid w:val="00A00625"/>
    <w:rsid w:val="00A049A3"/>
    <w:rsid w:val="00A5047D"/>
    <w:rsid w:val="00A6025A"/>
    <w:rsid w:val="00A659AC"/>
    <w:rsid w:val="00A700A6"/>
    <w:rsid w:val="00A82FC1"/>
    <w:rsid w:val="00A90965"/>
    <w:rsid w:val="00A93E23"/>
    <w:rsid w:val="00AB34AA"/>
    <w:rsid w:val="00AC74CB"/>
    <w:rsid w:val="00AF06BF"/>
    <w:rsid w:val="00AF401B"/>
    <w:rsid w:val="00AF6527"/>
    <w:rsid w:val="00B06D8C"/>
    <w:rsid w:val="00B10F2C"/>
    <w:rsid w:val="00B17C81"/>
    <w:rsid w:val="00B30B80"/>
    <w:rsid w:val="00B411DF"/>
    <w:rsid w:val="00B44C36"/>
    <w:rsid w:val="00B504B2"/>
    <w:rsid w:val="00B5659E"/>
    <w:rsid w:val="00B623B7"/>
    <w:rsid w:val="00B83B07"/>
    <w:rsid w:val="00B94C75"/>
    <w:rsid w:val="00BA13EB"/>
    <w:rsid w:val="00BA6A7F"/>
    <w:rsid w:val="00BF697E"/>
    <w:rsid w:val="00BF7769"/>
    <w:rsid w:val="00C03EC3"/>
    <w:rsid w:val="00C10267"/>
    <w:rsid w:val="00C25D1F"/>
    <w:rsid w:val="00C31718"/>
    <w:rsid w:val="00C52407"/>
    <w:rsid w:val="00C53955"/>
    <w:rsid w:val="00C545DF"/>
    <w:rsid w:val="00C604BC"/>
    <w:rsid w:val="00C62BD8"/>
    <w:rsid w:val="00C641D9"/>
    <w:rsid w:val="00C722E4"/>
    <w:rsid w:val="00C814F3"/>
    <w:rsid w:val="00C85229"/>
    <w:rsid w:val="00C966E8"/>
    <w:rsid w:val="00C97DD8"/>
    <w:rsid w:val="00CB2EA6"/>
    <w:rsid w:val="00CB5F86"/>
    <w:rsid w:val="00CE0C0F"/>
    <w:rsid w:val="00CF3338"/>
    <w:rsid w:val="00D03248"/>
    <w:rsid w:val="00D04685"/>
    <w:rsid w:val="00D06343"/>
    <w:rsid w:val="00D108DC"/>
    <w:rsid w:val="00D12C19"/>
    <w:rsid w:val="00D1589E"/>
    <w:rsid w:val="00D15ACB"/>
    <w:rsid w:val="00D36E5D"/>
    <w:rsid w:val="00D57321"/>
    <w:rsid w:val="00D768C8"/>
    <w:rsid w:val="00D76EF9"/>
    <w:rsid w:val="00DA43DF"/>
    <w:rsid w:val="00DA4C8F"/>
    <w:rsid w:val="00DB59E3"/>
    <w:rsid w:val="00DC1513"/>
    <w:rsid w:val="00DF29F0"/>
    <w:rsid w:val="00E011CF"/>
    <w:rsid w:val="00E20110"/>
    <w:rsid w:val="00E259CA"/>
    <w:rsid w:val="00E53598"/>
    <w:rsid w:val="00E558FD"/>
    <w:rsid w:val="00E72872"/>
    <w:rsid w:val="00E7518E"/>
    <w:rsid w:val="00E84241"/>
    <w:rsid w:val="00E90BFA"/>
    <w:rsid w:val="00E911AC"/>
    <w:rsid w:val="00EC4000"/>
    <w:rsid w:val="00ED5B12"/>
    <w:rsid w:val="00ED7C2A"/>
    <w:rsid w:val="00EE03A0"/>
    <w:rsid w:val="00F14187"/>
    <w:rsid w:val="00F21A90"/>
    <w:rsid w:val="00F2333A"/>
    <w:rsid w:val="00F254FD"/>
    <w:rsid w:val="00F370E5"/>
    <w:rsid w:val="00F47338"/>
    <w:rsid w:val="00F612F7"/>
    <w:rsid w:val="00F65C8B"/>
    <w:rsid w:val="00F96FFA"/>
    <w:rsid w:val="00FF0D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685"/>
    <w:pPr>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D04685"/>
    <w:pPr>
      <w:keepNext/>
      <w:spacing w:before="240" w:after="60"/>
      <w:outlineLvl w:val="0"/>
    </w:pPr>
    <w:rPr>
      <w:rFonts w:ascii="Times New Roman" w:hAnsi="Times New Roman" w:cs="Times New Roman"/>
      <w:b/>
      <w:bCs/>
      <w:kern w:val="32"/>
      <w:sz w:val="32"/>
      <w:szCs w:val="32"/>
    </w:rPr>
  </w:style>
  <w:style w:type="paragraph" w:styleId="Balk2">
    <w:name w:val="heading 2"/>
    <w:basedOn w:val="Normal"/>
    <w:next w:val="Normal"/>
    <w:link w:val="Balk2Char"/>
    <w:uiPriority w:val="9"/>
    <w:unhideWhenUsed/>
    <w:qFormat/>
    <w:rsid w:val="00D04685"/>
    <w:pPr>
      <w:keepNext/>
      <w:spacing w:before="240" w:after="60"/>
      <w:outlineLvl w:val="1"/>
    </w:pPr>
    <w:rPr>
      <w:rFonts w:ascii="Times New Roman" w:hAnsi="Times New Roman" w:cs="Times New Roman"/>
      <w:b/>
      <w:bCs/>
      <w:i/>
      <w:iCs/>
      <w:sz w:val="28"/>
      <w:szCs w:val="28"/>
    </w:rPr>
  </w:style>
  <w:style w:type="paragraph" w:styleId="Balk3">
    <w:name w:val="heading 3"/>
    <w:basedOn w:val="Normal"/>
    <w:next w:val="Normal"/>
    <w:link w:val="Balk3Char"/>
    <w:uiPriority w:val="9"/>
    <w:semiHidden/>
    <w:unhideWhenUsed/>
    <w:qFormat/>
    <w:rsid w:val="00D04685"/>
    <w:pPr>
      <w:keepNext/>
      <w:spacing w:before="240" w:after="60"/>
      <w:outlineLvl w:val="2"/>
    </w:pPr>
    <w:rPr>
      <w:rFonts w:ascii="Times New Roman" w:hAnsi="Times New Roman" w:cs="Times New Roman"/>
      <w:b/>
      <w:bCs/>
      <w:sz w:val="26"/>
      <w:szCs w:val="26"/>
    </w:rPr>
  </w:style>
  <w:style w:type="paragraph" w:styleId="Balk4">
    <w:name w:val="heading 4"/>
    <w:basedOn w:val="Normal"/>
    <w:next w:val="Normal"/>
    <w:link w:val="Balk4Char"/>
    <w:uiPriority w:val="9"/>
    <w:semiHidden/>
    <w:unhideWhenUsed/>
    <w:qFormat/>
    <w:rsid w:val="00D04685"/>
    <w:pPr>
      <w:keepNext/>
      <w:spacing w:before="240" w:after="60"/>
      <w:outlineLvl w:val="3"/>
    </w:pPr>
    <w:rPr>
      <w:rFonts w:ascii="Times New Roman" w:hAnsi="Times New Roman" w:cs="Times New Roman"/>
      <w:b/>
      <w:bCs/>
      <w:sz w:val="28"/>
      <w:szCs w:val="28"/>
    </w:rPr>
  </w:style>
  <w:style w:type="paragraph" w:styleId="Balk5">
    <w:name w:val="heading 5"/>
    <w:basedOn w:val="Normal"/>
    <w:next w:val="Normal"/>
    <w:link w:val="Balk5Char"/>
    <w:uiPriority w:val="9"/>
    <w:semiHidden/>
    <w:unhideWhenUsed/>
    <w:qFormat/>
    <w:rsid w:val="00D04685"/>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
    <w:semiHidden/>
    <w:unhideWhenUsed/>
    <w:qFormat/>
    <w:rsid w:val="00D04685"/>
    <w:pPr>
      <w:spacing w:before="240" w:after="60"/>
      <w:outlineLvl w:val="5"/>
    </w:pPr>
    <w:rPr>
      <w:rFonts w:ascii="Times New Roman" w:hAnsi="Times New Roman" w:cs="Times New Roman"/>
      <w:b/>
      <w:bCs/>
      <w:sz w:val="22"/>
      <w:szCs w:val="22"/>
    </w:rPr>
  </w:style>
  <w:style w:type="paragraph" w:styleId="Balk7">
    <w:name w:val="heading 7"/>
    <w:basedOn w:val="Normal"/>
    <w:next w:val="Normal"/>
    <w:link w:val="Balk7Char"/>
    <w:uiPriority w:val="9"/>
    <w:semiHidden/>
    <w:unhideWhenUsed/>
    <w:qFormat/>
    <w:rsid w:val="00D04685"/>
    <w:pPr>
      <w:spacing w:before="240" w:after="60"/>
      <w:outlineLvl w:val="6"/>
    </w:pPr>
    <w:rPr>
      <w:rFonts w:ascii="Times New Roman" w:hAnsi="Times New Roman" w:cs="Times New Roman"/>
      <w:sz w:val="24"/>
      <w:szCs w:val="24"/>
    </w:rPr>
  </w:style>
  <w:style w:type="paragraph" w:styleId="Balk8">
    <w:name w:val="heading 8"/>
    <w:basedOn w:val="Normal"/>
    <w:next w:val="Normal"/>
    <w:link w:val="Balk8Char"/>
    <w:uiPriority w:val="9"/>
    <w:semiHidden/>
    <w:unhideWhenUsed/>
    <w:qFormat/>
    <w:rsid w:val="00D04685"/>
    <w:pPr>
      <w:spacing w:before="240" w:after="60"/>
      <w:outlineLvl w:val="7"/>
    </w:pPr>
    <w:rPr>
      <w:rFonts w:ascii="Times New Roman" w:hAnsi="Times New Roman" w:cs="Times New Roman"/>
      <w:i/>
      <w:iCs/>
      <w:sz w:val="24"/>
      <w:szCs w:val="24"/>
    </w:rPr>
  </w:style>
  <w:style w:type="paragraph" w:styleId="Balk9">
    <w:name w:val="heading 9"/>
    <w:basedOn w:val="Normal"/>
    <w:next w:val="Normal"/>
    <w:link w:val="Balk9Char"/>
    <w:uiPriority w:val="9"/>
    <w:semiHidden/>
    <w:unhideWhenUsed/>
    <w:qFormat/>
    <w:rsid w:val="00D04685"/>
    <w:pPr>
      <w:spacing w:before="240" w:after="60"/>
      <w:outlineLvl w:val="8"/>
    </w:pPr>
    <w:rPr>
      <w:rFonts w:ascii="Times New Roman" w:hAnsi="Times New Roman"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D04685"/>
    <w:rPr>
      <w:rFonts w:ascii="Times New Roman" w:hAnsi="Times New Roman" w:cs="Times New Roman"/>
      <w:b/>
      <w:bCs/>
      <w:kern w:val="32"/>
      <w:sz w:val="32"/>
      <w:szCs w:val="32"/>
    </w:rPr>
  </w:style>
  <w:style w:type="character" w:customStyle="1" w:styleId="Balk2Char">
    <w:name w:val="Başlık 2 Char"/>
    <w:basedOn w:val="VarsaylanParagrafYazTipi"/>
    <w:link w:val="Balk2"/>
    <w:uiPriority w:val="9"/>
    <w:locked/>
    <w:rsid w:val="00D04685"/>
    <w:rPr>
      <w:rFonts w:ascii="Times New Roman" w:hAnsi="Times New Roman" w:cs="Times New Roman"/>
      <w:b/>
      <w:bCs/>
      <w:i/>
      <w:iCs/>
      <w:sz w:val="28"/>
      <w:szCs w:val="28"/>
    </w:rPr>
  </w:style>
  <w:style w:type="character" w:customStyle="1" w:styleId="Balk3Char">
    <w:name w:val="Başlık 3 Char"/>
    <w:basedOn w:val="VarsaylanParagrafYazTipi"/>
    <w:link w:val="Balk3"/>
    <w:uiPriority w:val="9"/>
    <w:semiHidden/>
    <w:locked/>
    <w:rsid w:val="00D04685"/>
    <w:rPr>
      <w:rFonts w:ascii="Times New Roman" w:hAnsi="Times New Roman" w:cs="Times New Roman"/>
      <w:b/>
      <w:bCs/>
      <w:sz w:val="26"/>
      <w:szCs w:val="26"/>
    </w:rPr>
  </w:style>
  <w:style w:type="character" w:customStyle="1" w:styleId="Balk4Char">
    <w:name w:val="Başlık 4 Char"/>
    <w:basedOn w:val="VarsaylanParagrafYazTipi"/>
    <w:link w:val="Balk4"/>
    <w:uiPriority w:val="9"/>
    <w:semiHidden/>
    <w:locked/>
    <w:rsid w:val="00D04685"/>
    <w:rPr>
      <w:rFonts w:ascii="Times New Roman" w:hAnsi="Times New Roman" w:cs="Times New Roman"/>
      <w:b/>
      <w:bCs/>
      <w:sz w:val="28"/>
      <w:szCs w:val="28"/>
    </w:rPr>
  </w:style>
  <w:style w:type="character" w:customStyle="1" w:styleId="Balk5Char">
    <w:name w:val="Başlık 5 Char"/>
    <w:basedOn w:val="VarsaylanParagrafYazTipi"/>
    <w:link w:val="Balk5"/>
    <w:uiPriority w:val="9"/>
    <w:semiHidden/>
    <w:locked/>
    <w:rsid w:val="00D04685"/>
    <w:rPr>
      <w:rFonts w:ascii="Times New Roman" w:hAnsi="Times New Roman" w:cs="Times New Roman"/>
      <w:b/>
      <w:bCs/>
      <w:i/>
      <w:iCs/>
      <w:sz w:val="26"/>
      <w:szCs w:val="26"/>
    </w:rPr>
  </w:style>
  <w:style w:type="character" w:customStyle="1" w:styleId="Balk6Char">
    <w:name w:val="Başlık 6 Char"/>
    <w:basedOn w:val="VarsaylanParagrafYazTipi"/>
    <w:link w:val="Balk6"/>
    <w:uiPriority w:val="9"/>
    <w:semiHidden/>
    <w:locked/>
    <w:rsid w:val="00D04685"/>
    <w:rPr>
      <w:rFonts w:ascii="Times New Roman" w:hAnsi="Times New Roman" w:cs="Times New Roman"/>
      <w:b/>
      <w:bCs/>
    </w:rPr>
  </w:style>
  <w:style w:type="character" w:customStyle="1" w:styleId="Balk7Char">
    <w:name w:val="Başlık 7 Char"/>
    <w:basedOn w:val="VarsaylanParagrafYazTipi"/>
    <w:link w:val="Balk7"/>
    <w:uiPriority w:val="9"/>
    <w:semiHidden/>
    <w:locked/>
    <w:rsid w:val="00D04685"/>
    <w:rPr>
      <w:rFonts w:ascii="Times New Roman" w:hAnsi="Times New Roman" w:cs="Times New Roman"/>
      <w:sz w:val="24"/>
      <w:szCs w:val="24"/>
    </w:rPr>
  </w:style>
  <w:style w:type="character" w:customStyle="1" w:styleId="Balk8Char">
    <w:name w:val="Başlık 8 Char"/>
    <w:basedOn w:val="VarsaylanParagrafYazTipi"/>
    <w:link w:val="Balk8"/>
    <w:uiPriority w:val="9"/>
    <w:semiHidden/>
    <w:locked/>
    <w:rsid w:val="00D04685"/>
    <w:rPr>
      <w:rFonts w:ascii="Times New Roman" w:hAnsi="Times New Roman" w:cs="Times New Roman"/>
      <w:i/>
      <w:iCs/>
      <w:sz w:val="24"/>
      <w:szCs w:val="24"/>
    </w:rPr>
  </w:style>
  <w:style w:type="character" w:customStyle="1" w:styleId="Balk9Char">
    <w:name w:val="Başlık 9 Char"/>
    <w:basedOn w:val="VarsaylanParagrafYazTipi"/>
    <w:link w:val="Balk9"/>
    <w:uiPriority w:val="9"/>
    <w:semiHidden/>
    <w:locked/>
    <w:rsid w:val="00D04685"/>
    <w:rPr>
      <w:rFonts w:ascii="Times New Roman" w:hAnsi="Times New Roman" w:cs="Times New Roman"/>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stbilgi">
    <w:name w:val="header"/>
    <w:basedOn w:val="Normal"/>
    <w:link w:val="stbilgiChar"/>
    <w:uiPriority w:val="99"/>
    <w:rsid w:val="00C604BC"/>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sz w:val="20"/>
      <w:szCs w:val="20"/>
    </w:rPr>
  </w:style>
  <w:style w:type="paragraph" w:styleId="KonuBal">
    <w:name w:val="Title"/>
    <w:basedOn w:val="Normal"/>
    <w:link w:val="KonuBalChar"/>
    <w:uiPriority w:val="99"/>
    <w:qFormat/>
    <w:rsid w:val="00D04685"/>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locked/>
    <w:rsid w:val="00D04685"/>
    <w:rPr>
      <w:rFonts w:ascii="Times New Roman" w:hAnsi="Times New Roman" w:cs="Times New Roman"/>
      <w:b/>
      <w:bCs/>
      <w:kern w:val="28"/>
      <w:sz w:val="32"/>
      <w:szCs w:val="32"/>
    </w:rPr>
  </w:style>
  <w:style w:type="paragraph" w:styleId="ResimYazs">
    <w:name w:val="caption"/>
    <w:basedOn w:val="Normal"/>
    <w:next w:val="Normal"/>
    <w:uiPriority w:val="35"/>
    <w:semiHidden/>
    <w:unhideWhenUsed/>
    <w:qFormat/>
    <w:rsid w:val="00D04685"/>
    <w:pPr>
      <w:spacing w:after="200"/>
    </w:pPr>
    <w:rPr>
      <w:b/>
      <w:bCs/>
      <w:color w:val="4F81BD"/>
      <w:sz w:val="18"/>
      <w:szCs w:val="18"/>
    </w:rPr>
  </w:style>
  <w:style w:type="character" w:styleId="SayfaNumaras">
    <w:name w:val="page number"/>
    <w:basedOn w:val="VarsaylanParagrafYazTipi"/>
    <w:uiPriority w:val="99"/>
    <w:rsid w:val="00D36E5D"/>
    <w:rPr>
      <w:rFonts w:cs="Times New Roman"/>
    </w:rPr>
  </w:style>
  <w:style w:type="paragraph" w:styleId="Altbilgi">
    <w:name w:val="footer"/>
    <w:basedOn w:val="Normal"/>
    <w:link w:val="AltbilgiChar"/>
    <w:uiPriority w:val="99"/>
    <w:rsid w:val="00C604BC"/>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sz w:val="20"/>
      <w:szCs w:val="20"/>
    </w:rPr>
  </w:style>
  <w:style w:type="paragraph" w:styleId="ListeParagraf">
    <w:name w:val="List Paragraph"/>
    <w:basedOn w:val="Normal"/>
    <w:uiPriority w:val="34"/>
    <w:qFormat/>
    <w:rsid w:val="00D04685"/>
    <w:pPr>
      <w:ind w:left="708"/>
    </w:pPr>
  </w:style>
  <w:style w:type="paragraph" w:styleId="AltKonuBal">
    <w:name w:val="Subtitle"/>
    <w:basedOn w:val="Normal"/>
    <w:next w:val="Normal"/>
    <w:link w:val="AltKonuBalChar"/>
    <w:uiPriority w:val="11"/>
    <w:qFormat/>
    <w:rsid w:val="00D04685"/>
    <w:pPr>
      <w:spacing w:after="60"/>
      <w:jc w:val="center"/>
      <w:outlineLvl w:val="1"/>
    </w:pPr>
    <w:rPr>
      <w:rFonts w:ascii="Times New Roman" w:hAnsi="Times New Roman" w:cs="Times New Roman"/>
      <w:sz w:val="24"/>
      <w:szCs w:val="24"/>
    </w:rPr>
  </w:style>
  <w:style w:type="character" w:customStyle="1" w:styleId="AltKonuBalChar">
    <w:name w:val="Alt Konu Başlığı Char"/>
    <w:basedOn w:val="VarsaylanParagrafYazTipi"/>
    <w:link w:val="AltKonuBal"/>
    <w:uiPriority w:val="11"/>
    <w:locked/>
    <w:rsid w:val="00D04685"/>
    <w:rPr>
      <w:rFonts w:ascii="Times New Roman" w:hAnsi="Times New Roman" w:cs="Times New Roman"/>
      <w:sz w:val="24"/>
      <w:szCs w:val="24"/>
    </w:rPr>
  </w:style>
  <w:style w:type="character" w:customStyle="1" w:styleId="KeskinTrnakChar1">
    <w:name w:val="Keskin Tırnak Char1"/>
    <w:basedOn w:val="VarsaylanParagrafYazTipi"/>
    <w:link w:val="KeskinTrnak"/>
    <w:uiPriority w:val="30"/>
    <w:rPr>
      <w:rFonts w:ascii="Arial" w:hAnsi="Arial" w:cs="Arial"/>
      <w:i/>
      <w:iCs/>
      <w:color w:val="4F81BD"/>
      <w:sz w:val="20"/>
      <w:szCs w:val="20"/>
    </w:rPr>
  </w:style>
  <w:style w:type="character" w:styleId="GlBavuru">
    <w:name w:val="Intense Reference"/>
    <w:basedOn w:val="VarsaylanParagrafYazTipi"/>
    <w:uiPriority w:val="32"/>
    <w:qFormat/>
    <w:rsid w:val="00D04685"/>
    <w:rPr>
      <w:rFonts w:cs="Times New Roman"/>
      <w:b/>
      <w:smallCaps/>
      <w:color w:val="C0504D"/>
      <w:spacing w:val="5"/>
      <w:u w:val="single"/>
    </w:rPr>
  </w:style>
  <w:style w:type="paragraph" w:styleId="Trnak">
    <w:name w:val="Quote"/>
    <w:basedOn w:val="Normal"/>
    <w:next w:val="Normal"/>
    <w:link w:val="TrnakChar"/>
    <w:uiPriority w:val="29"/>
    <w:qFormat/>
    <w:rsid w:val="00D04685"/>
    <w:rPr>
      <w:i/>
      <w:iCs/>
      <w:color w:val="000000"/>
    </w:rPr>
  </w:style>
  <w:style w:type="character" w:customStyle="1" w:styleId="TrnakChar">
    <w:name w:val="Tırnak Char"/>
    <w:basedOn w:val="VarsaylanParagrafYazTipi"/>
    <w:link w:val="Trnak"/>
    <w:uiPriority w:val="29"/>
    <w:locked/>
    <w:rsid w:val="00D04685"/>
    <w:rPr>
      <w:rFonts w:ascii="Arial" w:hAnsi="Arial" w:cs="Arial"/>
      <w:i/>
      <w:iCs/>
      <w:color w:val="000000"/>
      <w:sz w:val="20"/>
      <w:szCs w:val="20"/>
    </w:rPr>
  </w:style>
  <w:style w:type="paragraph" w:styleId="TBal">
    <w:name w:val="TOC Heading"/>
    <w:basedOn w:val="Balk1"/>
    <w:next w:val="Normal"/>
    <w:uiPriority w:val="39"/>
    <w:semiHidden/>
    <w:unhideWhenUsed/>
    <w:qFormat/>
    <w:rsid w:val="00D04685"/>
    <w:pPr>
      <w:outlineLvl w:val="9"/>
    </w:pPr>
  </w:style>
  <w:style w:type="character" w:styleId="KitapBal">
    <w:name w:val="Book Title"/>
    <w:basedOn w:val="VarsaylanParagrafYazTipi"/>
    <w:uiPriority w:val="33"/>
    <w:qFormat/>
    <w:rsid w:val="00D04685"/>
    <w:rPr>
      <w:rFonts w:cs="Times New Roman"/>
      <w:b/>
      <w:bCs/>
      <w:smallCaps/>
      <w:spacing w:val="5"/>
    </w:rPr>
  </w:style>
  <w:style w:type="paragraph" w:styleId="AralkYok">
    <w:name w:val="No Spacing"/>
    <w:basedOn w:val="Normal"/>
    <w:uiPriority w:val="1"/>
    <w:qFormat/>
    <w:rsid w:val="00D04685"/>
  </w:style>
  <w:style w:type="character" w:styleId="Vurgu">
    <w:name w:val="Emphasis"/>
    <w:basedOn w:val="VarsaylanParagrafYazTipi"/>
    <w:uiPriority w:val="20"/>
    <w:qFormat/>
    <w:rsid w:val="00D04685"/>
    <w:rPr>
      <w:rFonts w:cs="Times New Roman"/>
      <w:i/>
    </w:rPr>
  </w:style>
  <w:style w:type="character" w:styleId="Gl">
    <w:name w:val="Strong"/>
    <w:basedOn w:val="VarsaylanParagrafYazTipi"/>
    <w:uiPriority w:val="22"/>
    <w:qFormat/>
    <w:rsid w:val="00D04685"/>
    <w:rPr>
      <w:rFonts w:cs="Times New Roman"/>
      <w:b/>
    </w:rPr>
  </w:style>
  <w:style w:type="character" w:styleId="HafifVurgulama">
    <w:name w:val="Subtle Emphasis"/>
    <w:basedOn w:val="VarsaylanParagrafYazTipi"/>
    <w:uiPriority w:val="19"/>
    <w:qFormat/>
    <w:rsid w:val="00D04685"/>
    <w:rPr>
      <w:rFonts w:cs="Times New Roman"/>
      <w:i/>
      <w:color w:val="808080"/>
    </w:rPr>
  </w:style>
  <w:style w:type="paragraph" w:styleId="KeskinTrnak">
    <w:name w:val="Intense Quote"/>
    <w:basedOn w:val="Normal"/>
    <w:next w:val="Normal"/>
    <w:link w:val="KeskinTrnakChar1"/>
    <w:uiPriority w:val="30"/>
    <w:qFormat/>
    <w:rsid w:val="00D04685"/>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locked/>
    <w:rPr>
      <w:rFonts w:ascii="Arial" w:hAnsi="Arial" w:cs="Arial"/>
      <w:b/>
      <w:bCs/>
      <w:i/>
      <w:iCs/>
      <w:color w:val="4F81BD"/>
      <w:sz w:val="20"/>
      <w:szCs w:val="20"/>
    </w:rPr>
  </w:style>
  <w:style w:type="character" w:styleId="HafifBavuru">
    <w:name w:val="Subtle Reference"/>
    <w:basedOn w:val="VarsaylanParagrafYazTipi"/>
    <w:uiPriority w:val="31"/>
    <w:qFormat/>
    <w:rsid w:val="00D04685"/>
    <w:rPr>
      <w:rFonts w:cs="Times New Roman"/>
      <w:smallCaps/>
      <w:color w:val="C0504D"/>
      <w:u w:val="single"/>
    </w:rPr>
  </w:style>
  <w:style w:type="character" w:styleId="GlVurgulama">
    <w:name w:val="Intense Emphasis"/>
    <w:basedOn w:val="VarsaylanParagrafYazTipi"/>
    <w:uiPriority w:val="21"/>
    <w:qFormat/>
    <w:rsid w:val="00D04685"/>
    <w:rPr>
      <w:rFonts w:cs="Times New Roman"/>
      <w:b/>
      <w:i/>
      <w:color w:val="4F81BD"/>
    </w:rPr>
  </w:style>
</w:styles>
</file>

<file path=word/webSettings.xml><?xml version="1.0" encoding="utf-8"?>
<w:webSettings xmlns:r="http://schemas.openxmlformats.org/officeDocument/2006/relationships" xmlns:w="http://schemas.openxmlformats.org/wordprocessingml/2006/main">
  <w:divs>
    <w:div w:id="885485289">
      <w:marLeft w:val="0"/>
      <w:marRight w:val="0"/>
      <w:marTop w:val="0"/>
      <w:marBottom w:val="0"/>
      <w:divBdr>
        <w:top w:val="none" w:sz="0" w:space="0" w:color="auto"/>
        <w:left w:val="none" w:sz="0" w:space="0" w:color="auto"/>
        <w:bottom w:val="none" w:sz="0" w:space="0" w:color="auto"/>
        <w:right w:val="none" w:sz="0" w:space="0" w:color="auto"/>
      </w:divBdr>
    </w:div>
    <w:div w:id="885485290">
      <w:marLeft w:val="0"/>
      <w:marRight w:val="0"/>
      <w:marTop w:val="0"/>
      <w:marBottom w:val="0"/>
      <w:divBdr>
        <w:top w:val="none" w:sz="0" w:space="0" w:color="auto"/>
        <w:left w:val="none" w:sz="0" w:space="0" w:color="auto"/>
        <w:bottom w:val="none" w:sz="0" w:space="0" w:color="auto"/>
        <w:right w:val="none" w:sz="0" w:space="0" w:color="auto"/>
      </w:divBdr>
    </w:div>
    <w:div w:id="885485291">
      <w:marLeft w:val="0"/>
      <w:marRight w:val="0"/>
      <w:marTop w:val="0"/>
      <w:marBottom w:val="0"/>
      <w:divBdr>
        <w:top w:val="none" w:sz="0" w:space="0" w:color="auto"/>
        <w:left w:val="none" w:sz="0" w:space="0" w:color="auto"/>
        <w:bottom w:val="none" w:sz="0" w:space="0" w:color="auto"/>
        <w:right w:val="none" w:sz="0" w:space="0" w:color="auto"/>
      </w:divBdr>
    </w:div>
    <w:div w:id="885485292">
      <w:marLeft w:val="0"/>
      <w:marRight w:val="0"/>
      <w:marTop w:val="0"/>
      <w:marBottom w:val="0"/>
      <w:divBdr>
        <w:top w:val="none" w:sz="0" w:space="0" w:color="auto"/>
        <w:left w:val="none" w:sz="0" w:space="0" w:color="auto"/>
        <w:bottom w:val="none" w:sz="0" w:space="0" w:color="auto"/>
        <w:right w:val="none" w:sz="0" w:space="0" w:color="auto"/>
      </w:divBdr>
    </w:div>
    <w:div w:id="885485293">
      <w:marLeft w:val="0"/>
      <w:marRight w:val="0"/>
      <w:marTop w:val="0"/>
      <w:marBottom w:val="0"/>
      <w:divBdr>
        <w:top w:val="none" w:sz="0" w:space="0" w:color="auto"/>
        <w:left w:val="none" w:sz="0" w:space="0" w:color="auto"/>
        <w:bottom w:val="none" w:sz="0" w:space="0" w:color="auto"/>
        <w:right w:val="none" w:sz="0" w:space="0" w:color="auto"/>
      </w:divBdr>
    </w:div>
    <w:div w:id="885485294">
      <w:marLeft w:val="0"/>
      <w:marRight w:val="0"/>
      <w:marTop w:val="0"/>
      <w:marBottom w:val="0"/>
      <w:divBdr>
        <w:top w:val="none" w:sz="0" w:space="0" w:color="auto"/>
        <w:left w:val="none" w:sz="0" w:space="0" w:color="auto"/>
        <w:bottom w:val="none" w:sz="0" w:space="0" w:color="auto"/>
        <w:right w:val="none" w:sz="0" w:space="0" w:color="auto"/>
      </w:divBdr>
    </w:div>
    <w:div w:id="885485295">
      <w:marLeft w:val="0"/>
      <w:marRight w:val="0"/>
      <w:marTop w:val="0"/>
      <w:marBottom w:val="0"/>
      <w:divBdr>
        <w:top w:val="none" w:sz="0" w:space="0" w:color="auto"/>
        <w:left w:val="none" w:sz="0" w:space="0" w:color="auto"/>
        <w:bottom w:val="none" w:sz="0" w:space="0" w:color="auto"/>
        <w:right w:val="none" w:sz="0" w:space="0" w:color="auto"/>
      </w:divBdr>
    </w:div>
    <w:div w:id="885485296">
      <w:marLeft w:val="0"/>
      <w:marRight w:val="0"/>
      <w:marTop w:val="0"/>
      <w:marBottom w:val="0"/>
      <w:divBdr>
        <w:top w:val="none" w:sz="0" w:space="0" w:color="auto"/>
        <w:left w:val="none" w:sz="0" w:space="0" w:color="auto"/>
        <w:bottom w:val="none" w:sz="0" w:space="0" w:color="auto"/>
        <w:right w:val="none" w:sz="0" w:space="0" w:color="auto"/>
      </w:divBdr>
    </w:div>
    <w:div w:id="885485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5EF7-8E02-4F4F-B3D4-226D964B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2</cp:revision>
  <dcterms:created xsi:type="dcterms:W3CDTF">2019-11-04T06:19:00Z</dcterms:created>
  <dcterms:modified xsi:type="dcterms:W3CDTF">2019-11-04T06:19:00Z</dcterms:modified>
</cp:coreProperties>
</file>